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9CD9" w14:textId="77777777" w:rsidR="007D4A5E" w:rsidRDefault="007D4A5E" w:rsidP="006251E4">
      <w:pPr>
        <w:spacing w:after="0" w:line="240" w:lineRule="auto"/>
        <w:jc w:val="center"/>
        <w:rPr>
          <w:rFonts w:ascii="Avenir" w:eastAsia="Times New Roman" w:hAnsi="Avenir" w:cstheme="minorHAnsi"/>
          <w:b/>
          <w:bCs/>
          <w:sz w:val="32"/>
          <w:szCs w:val="32"/>
        </w:rPr>
      </w:pPr>
    </w:p>
    <w:p w14:paraId="1C9DA355" w14:textId="3352DA5B" w:rsidR="00EC3AE3" w:rsidRDefault="00EC3AE3" w:rsidP="00D34FB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C8FACBA" wp14:editId="467637CF">
            <wp:extent cx="3260376" cy="95881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89" cy="95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2AC7" w14:textId="4693512A" w:rsidR="0089409C" w:rsidRDefault="00D34FB3" w:rsidP="00D34FB3">
      <w:pPr>
        <w:spacing w:after="0" w:line="240" w:lineRule="auto"/>
        <w:jc w:val="center"/>
        <w:rPr>
          <w:rFonts w:ascii="Avenir" w:eastAsia="Times New Roman" w:hAnsi="Avenir" w:cstheme="minorHAnsi"/>
          <w:b/>
          <w:bCs/>
          <w:sz w:val="32"/>
          <w:szCs w:val="32"/>
        </w:rPr>
      </w:pPr>
      <w:r>
        <w:t xml:space="preserve">The Developmental Disabilities Alliance of Western New York (DDAWNY) is a collaborative group of </w:t>
      </w:r>
      <w:proofErr w:type="gramStart"/>
      <w:r>
        <w:t>40 member</w:t>
      </w:r>
      <w:proofErr w:type="gramEnd"/>
      <w:r>
        <w:t xml:space="preserve"> voluntary agencies in Buffalo and Rochester that provide services to people with developmental disabilities.</w:t>
      </w:r>
      <w:r w:rsidRPr="00D34FB3"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</w:p>
    <w:p w14:paraId="0FF9D424" w14:textId="77777777" w:rsidR="00D34FB3" w:rsidRPr="00EC3AE3" w:rsidRDefault="00D34FB3" w:rsidP="006251E4">
      <w:pPr>
        <w:spacing w:after="0" w:line="240" w:lineRule="auto"/>
        <w:jc w:val="center"/>
        <w:rPr>
          <w:rFonts w:ascii="Avenir" w:eastAsia="Times New Roman" w:hAnsi="Avenir" w:cstheme="minorHAnsi"/>
          <w:b/>
          <w:bCs/>
          <w:sz w:val="28"/>
          <w:szCs w:val="28"/>
        </w:rPr>
      </w:pPr>
    </w:p>
    <w:p w14:paraId="4551ACC8" w14:textId="09229D51" w:rsidR="00063D6F" w:rsidRPr="006251E4" w:rsidRDefault="006251E4" w:rsidP="006251E4">
      <w:pPr>
        <w:spacing w:after="0" w:line="240" w:lineRule="auto"/>
        <w:jc w:val="center"/>
        <w:rPr>
          <w:rFonts w:ascii="Avenir" w:eastAsia="Times New Roman" w:hAnsi="Avenir" w:cstheme="minorHAnsi"/>
          <w:b/>
          <w:bCs/>
          <w:sz w:val="32"/>
          <w:szCs w:val="32"/>
        </w:rPr>
      </w:pPr>
      <w:r w:rsidRPr="006251E4">
        <w:rPr>
          <w:rFonts w:ascii="Avenir" w:eastAsia="Times New Roman" w:hAnsi="Avenir" w:cstheme="minorHAnsi"/>
          <w:b/>
          <w:bCs/>
          <w:sz w:val="32"/>
          <w:szCs w:val="32"/>
        </w:rPr>
        <w:t>2022-2023 Executive Budget Asks</w:t>
      </w:r>
    </w:p>
    <w:p w14:paraId="1147FAE7" w14:textId="77777777" w:rsidR="00260DE8" w:rsidRPr="00EC3AE3" w:rsidRDefault="00260DE8" w:rsidP="00A620A5">
      <w:pPr>
        <w:spacing w:after="0" w:line="240" w:lineRule="auto"/>
        <w:jc w:val="both"/>
        <w:rPr>
          <w:rFonts w:ascii="Avenir" w:eastAsia="Times New Roman" w:hAnsi="Avenir" w:cstheme="minorHAnsi"/>
          <w:sz w:val="20"/>
          <w:szCs w:val="20"/>
        </w:rPr>
      </w:pPr>
    </w:p>
    <w:p w14:paraId="117139A7" w14:textId="77777777" w:rsidR="00926E8E" w:rsidRPr="001A3DE3" w:rsidRDefault="00926E8E" w:rsidP="00A620A5">
      <w:pPr>
        <w:shd w:val="clear" w:color="auto" w:fill="2F5496" w:themeFill="accent5" w:themeFillShade="BF"/>
        <w:spacing w:after="0" w:line="240" w:lineRule="auto"/>
        <w:jc w:val="both"/>
        <w:rPr>
          <w:rFonts w:ascii="Avenir" w:hAnsi="Avenir" w:cstheme="minorHAnsi"/>
          <w:b/>
          <w:color w:val="FFFFFF" w:themeColor="background1"/>
          <w:sz w:val="24"/>
          <w:szCs w:val="24"/>
        </w:rPr>
      </w:pP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O</w:t>
      </w:r>
      <w:r w:rsidR="00AE04C2"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 xml:space="preserve">FFICE FOR </w:t>
      </w: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P</w:t>
      </w:r>
      <w:r w:rsidR="00AE04C2"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 xml:space="preserve">EOPLE </w:t>
      </w: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W</w:t>
      </w:r>
      <w:r w:rsidR="00AE04C2"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 xml:space="preserve">ITH </w:t>
      </w: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D</w:t>
      </w:r>
      <w:r w:rsidR="00AE04C2"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 xml:space="preserve">EVELOPMENTAL </w:t>
      </w: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D</w:t>
      </w:r>
      <w:r w:rsidR="00AE04C2"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ISABILITIES</w:t>
      </w:r>
    </w:p>
    <w:p w14:paraId="24CEF6EC" w14:textId="7C242203" w:rsidR="002535BD" w:rsidRPr="00D34FB3" w:rsidRDefault="00D140A9" w:rsidP="00D34FB3">
      <w:p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hAnsi="Avenir" w:cstheme="minorHAnsi"/>
          <w:b/>
          <w:bCs/>
        </w:rPr>
        <w:t>5.4% COLA for SFY 2023</w:t>
      </w:r>
    </w:p>
    <w:p w14:paraId="32E377C1" w14:textId="77777777" w:rsidR="00720559" w:rsidRPr="000666BF" w:rsidRDefault="00720559" w:rsidP="000666BF">
      <w:pPr>
        <w:spacing w:after="0" w:line="240" w:lineRule="auto"/>
        <w:ind w:left="720" w:firstLine="720"/>
        <w:jc w:val="both"/>
        <w:rPr>
          <w:rFonts w:ascii="Avenir" w:hAnsi="Avenir" w:cstheme="minorHAnsi"/>
          <w:b/>
          <w:color w:val="538135" w:themeColor="accent6" w:themeShade="BF"/>
        </w:rPr>
      </w:pPr>
      <w:r w:rsidRPr="000666BF">
        <w:rPr>
          <w:rFonts w:ascii="Avenir" w:hAnsi="Avenir" w:cstheme="minorHAnsi"/>
          <w:b/>
          <w:color w:val="538135" w:themeColor="accent6" w:themeShade="BF"/>
        </w:rPr>
        <w:t>RECOMMENDATION:</w:t>
      </w:r>
    </w:p>
    <w:p w14:paraId="5B75ED8B" w14:textId="77777777" w:rsidR="002535BD" w:rsidRPr="000666BF" w:rsidRDefault="002535BD" w:rsidP="000666B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venir" w:eastAsia="Calibri" w:hAnsi="Avenir" w:cstheme="minorHAnsi"/>
          <w:b/>
          <w:bCs/>
          <w:color w:val="181717"/>
        </w:rPr>
      </w:pPr>
      <w:r w:rsidRPr="000666BF">
        <w:rPr>
          <w:rFonts w:ascii="Avenir" w:eastAsia="Calibri" w:hAnsi="Avenir" w:cstheme="minorHAnsi"/>
          <w:b/>
          <w:bCs/>
          <w:color w:val="181717"/>
        </w:rPr>
        <w:t xml:space="preserve">Accept </w:t>
      </w:r>
      <w:r w:rsidR="00931CB5" w:rsidRPr="000666BF">
        <w:rPr>
          <w:rFonts w:ascii="Avenir" w:eastAsia="Calibri" w:hAnsi="Avenir" w:cstheme="minorHAnsi"/>
          <w:b/>
          <w:bCs/>
          <w:color w:val="181717"/>
        </w:rPr>
        <w:t>the Health &amp; Mental Hygiene Article VII Part DD</w:t>
      </w:r>
      <w:r w:rsidR="00720559" w:rsidRPr="000666BF">
        <w:rPr>
          <w:rFonts w:ascii="Avenir" w:eastAsia="Calibri" w:hAnsi="Avenir" w:cstheme="minorHAnsi"/>
          <w:b/>
          <w:bCs/>
          <w:color w:val="181717"/>
        </w:rPr>
        <w:t xml:space="preserve"> authorizing the 5.4% COLA for Human Services Agencies</w:t>
      </w:r>
    </w:p>
    <w:p w14:paraId="5626E3CF" w14:textId="77777777" w:rsidR="00720559" w:rsidRPr="000666BF" w:rsidRDefault="00720559" w:rsidP="000666BF">
      <w:pPr>
        <w:spacing w:after="0" w:line="240" w:lineRule="auto"/>
        <w:jc w:val="both"/>
        <w:rPr>
          <w:rFonts w:ascii="Avenir" w:hAnsi="Avenir" w:cstheme="minorHAnsi"/>
          <w:b/>
          <w:bCs/>
          <w:sz w:val="24"/>
          <w:szCs w:val="24"/>
        </w:rPr>
      </w:pPr>
    </w:p>
    <w:p w14:paraId="2CFE4EC6" w14:textId="77777777" w:rsidR="00F40C29" w:rsidRPr="000666BF" w:rsidRDefault="00842E58" w:rsidP="00A620A5">
      <w:p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hAnsi="Avenir" w:cstheme="minorHAnsi"/>
          <w:b/>
          <w:bCs/>
        </w:rPr>
        <w:t>W</w:t>
      </w:r>
      <w:r w:rsidR="00F40C29" w:rsidRPr="000666BF">
        <w:rPr>
          <w:rFonts w:ascii="Avenir" w:hAnsi="Avenir" w:cstheme="minorHAnsi"/>
          <w:b/>
          <w:bCs/>
        </w:rPr>
        <w:t>ORKFORCE</w:t>
      </w:r>
      <w:r w:rsidR="00B54721">
        <w:rPr>
          <w:rFonts w:ascii="Avenir" w:hAnsi="Avenir" w:cstheme="minorHAnsi"/>
          <w:b/>
          <w:bCs/>
        </w:rPr>
        <w:t xml:space="preserve"> INVESTMENTS </w:t>
      </w:r>
    </w:p>
    <w:p w14:paraId="09D35D56" w14:textId="1139D77C" w:rsidR="00715243" w:rsidRPr="00D34FB3" w:rsidRDefault="00931CB5" w:rsidP="00D34FB3">
      <w:p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eastAsia="Calibri" w:hAnsi="Avenir" w:cstheme="minorHAnsi"/>
          <w:color w:val="181717"/>
        </w:rPr>
        <w:t xml:space="preserve">The Executive Budget includes a proposal to </w:t>
      </w:r>
      <w:r w:rsidR="00720559" w:rsidRPr="000666BF">
        <w:rPr>
          <w:rFonts w:ascii="Avenir" w:eastAsia="Calibri" w:hAnsi="Avenir" w:cstheme="minorHAnsi"/>
          <w:color w:val="181717"/>
        </w:rPr>
        <w:t xml:space="preserve">provide </w:t>
      </w:r>
      <w:r w:rsidRPr="000666BF">
        <w:rPr>
          <w:rFonts w:ascii="Avenir" w:eastAsia="Calibri" w:hAnsi="Avenir" w:cstheme="minorHAnsi"/>
          <w:color w:val="181717"/>
        </w:rPr>
        <w:t xml:space="preserve">up to </w:t>
      </w:r>
      <w:r w:rsidRPr="000666BF">
        <w:rPr>
          <w:rFonts w:ascii="Avenir" w:eastAsia="Calibri" w:hAnsi="Avenir" w:cstheme="minorHAnsi"/>
          <w:b/>
          <w:color w:val="181717"/>
        </w:rPr>
        <w:t xml:space="preserve">$3,000 </w:t>
      </w:r>
      <w:r w:rsidR="00720559" w:rsidRPr="000666BF">
        <w:rPr>
          <w:rFonts w:ascii="Avenir" w:eastAsia="Calibri" w:hAnsi="Avenir" w:cstheme="minorHAnsi"/>
          <w:b/>
          <w:color w:val="181717"/>
        </w:rPr>
        <w:t xml:space="preserve">in </w:t>
      </w:r>
      <w:r w:rsidRPr="000666BF">
        <w:rPr>
          <w:rFonts w:ascii="Avenir" w:eastAsia="Calibri" w:hAnsi="Avenir" w:cstheme="minorHAnsi"/>
          <w:b/>
          <w:color w:val="181717"/>
        </w:rPr>
        <w:t>bonus payments</w:t>
      </w:r>
      <w:r w:rsidRPr="000666BF">
        <w:rPr>
          <w:rFonts w:ascii="Avenir" w:eastAsia="Calibri" w:hAnsi="Avenir" w:cstheme="minorHAnsi"/>
          <w:color w:val="181717"/>
        </w:rPr>
        <w:t xml:space="preserve"> to frontline health care and mental hygiene workers. </w:t>
      </w:r>
    </w:p>
    <w:p w14:paraId="7921DDF4" w14:textId="73EF9784" w:rsidR="00B27FEE" w:rsidRPr="00B27FEE" w:rsidRDefault="00720559" w:rsidP="00B27FEE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181717"/>
        </w:rPr>
      </w:pPr>
      <w:r w:rsidRPr="000666BF">
        <w:rPr>
          <w:rFonts w:ascii="Avenir" w:eastAsia="Calibri" w:hAnsi="Avenir" w:cstheme="minorHAnsi"/>
          <w:b/>
          <w:bCs/>
          <w:color w:val="538135" w:themeColor="accent6" w:themeShade="BF"/>
        </w:rPr>
        <w:t>RECOMMENDATION</w:t>
      </w:r>
      <w:r w:rsidR="009258A9" w:rsidRPr="000666BF">
        <w:rPr>
          <w:rFonts w:ascii="Avenir" w:eastAsia="Calibri" w:hAnsi="Avenir" w:cstheme="minorHAnsi"/>
          <w:b/>
          <w:bCs/>
          <w:color w:val="181717"/>
        </w:rPr>
        <w:t xml:space="preserve">:  </w:t>
      </w:r>
    </w:p>
    <w:p w14:paraId="234CD1AE" w14:textId="77777777" w:rsidR="00B27FEE" w:rsidRPr="00B27FEE" w:rsidRDefault="00B27FEE" w:rsidP="00B27FEE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  <w:r w:rsidRPr="00B27FEE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 xml:space="preserve">Amend the Health &amp; Mental Hygiene Article VII Part D to include part-time employees who worked on average at least 15 hours and reduce the top tier from an average of 40+ hours to an average of 30+ hours (or full-time as determined by the agency) to mirror the </w:t>
      </w:r>
      <w:proofErr w:type="spellStart"/>
      <w:r w:rsidRPr="00B27FEE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>eFMAP</w:t>
      </w:r>
      <w:proofErr w:type="spellEnd"/>
      <w:r w:rsidRPr="00B27FEE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 xml:space="preserve"> requirement and make this bonus an annual recurring bonus or wage enhancement.</w:t>
      </w:r>
    </w:p>
    <w:p w14:paraId="1E1B5958" w14:textId="77777777" w:rsidR="00F40C29" w:rsidRPr="000666BF" w:rsidRDefault="00F40C29" w:rsidP="00A620A5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181717"/>
        </w:rPr>
      </w:pPr>
    </w:p>
    <w:p w14:paraId="1A3F5106" w14:textId="77777777" w:rsidR="00F40C29" w:rsidRPr="000666BF" w:rsidRDefault="00F40C29" w:rsidP="000666BF">
      <w:pPr>
        <w:spacing w:after="0" w:line="240" w:lineRule="auto"/>
        <w:jc w:val="both"/>
        <w:rPr>
          <w:rFonts w:ascii="Avenir" w:hAnsi="Avenir" w:cstheme="minorHAnsi"/>
          <w:b/>
          <w:bCs/>
          <w:sz w:val="24"/>
          <w:szCs w:val="24"/>
        </w:rPr>
      </w:pPr>
      <w:r w:rsidRPr="000666BF">
        <w:rPr>
          <w:rFonts w:ascii="Avenir" w:hAnsi="Avenir" w:cstheme="minorHAnsi"/>
          <w:b/>
          <w:bCs/>
          <w:sz w:val="24"/>
          <w:szCs w:val="24"/>
        </w:rPr>
        <w:t>ESTABLISH A PERSONAL INCOME TAX CREDIT FOR DIRECT CARE STAFF</w:t>
      </w:r>
    </w:p>
    <w:p w14:paraId="553F2855" w14:textId="730C7667" w:rsidR="00443673" w:rsidRPr="00D34FB3" w:rsidRDefault="008630C5" w:rsidP="00D34FB3">
      <w:pPr>
        <w:spacing w:after="0" w:line="240" w:lineRule="auto"/>
        <w:rPr>
          <w:rFonts w:ascii="Avenir" w:eastAsia="Calibri" w:hAnsi="Avenir" w:cstheme="minorHAnsi"/>
          <w:color w:val="181717"/>
        </w:rPr>
      </w:pPr>
      <w:r>
        <w:rPr>
          <w:rFonts w:ascii="Avenir" w:eastAsia="Calibri" w:hAnsi="Avenir" w:cstheme="minorHAnsi"/>
          <w:color w:val="181717"/>
        </w:rPr>
        <w:t xml:space="preserve">The establishment of </w:t>
      </w:r>
      <w:r w:rsidRPr="009504D7">
        <w:rPr>
          <w:rFonts w:ascii="Avenir" w:eastAsia="Calibri" w:hAnsi="Avenir" w:cstheme="minorHAnsi"/>
          <w:color w:val="181717"/>
        </w:rPr>
        <w:t xml:space="preserve">a </w:t>
      </w:r>
      <w:r w:rsidR="00407A8C" w:rsidRPr="0082000A">
        <w:rPr>
          <w:rFonts w:ascii="Avenir" w:eastAsia="Calibri" w:hAnsi="Avenir" w:cstheme="minorHAnsi"/>
          <w:color w:val="181717"/>
        </w:rPr>
        <w:t xml:space="preserve">refundable </w:t>
      </w:r>
      <w:r w:rsidRPr="0082000A">
        <w:rPr>
          <w:rFonts w:ascii="Avenir" w:eastAsia="Calibri" w:hAnsi="Avenir" w:cstheme="minorHAnsi"/>
          <w:color w:val="181717"/>
        </w:rPr>
        <w:t>personal income tax credit</w:t>
      </w:r>
      <w:r w:rsidRPr="009504D7">
        <w:rPr>
          <w:rFonts w:ascii="Avenir" w:eastAsia="Calibri" w:hAnsi="Avenir" w:cstheme="minorHAnsi"/>
          <w:color w:val="181717"/>
        </w:rPr>
        <w:t xml:space="preserve"> </w:t>
      </w:r>
      <w:r w:rsidR="000A4078">
        <w:rPr>
          <w:rFonts w:ascii="Avenir" w:eastAsia="Calibri" w:hAnsi="Avenir" w:cstheme="minorHAnsi"/>
          <w:color w:val="181717"/>
        </w:rPr>
        <w:t>is</w:t>
      </w:r>
      <w:r w:rsidR="00407A8C">
        <w:rPr>
          <w:rFonts w:ascii="Avenir" w:eastAsia="Calibri" w:hAnsi="Avenir" w:cstheme="minorHAnsi"/>
          <w:color w:val="181717"/>
        </w:rPr>
        <w:t xml:space="preserve"> an</w:t>
      </w:r>
      <w:r>
        <w:rPr>
          <w:rFonts w:ascii="Avenir" w:eastAsia="Calibri" w:hAnsi="Avenir" w:cstheme="minorHAnsi"/>
          <w:color w:val="181717"/>
        </w:rPr>
        <w:t xml:space="preserve"> additional way t</w:t>
      </w:r>
      <w:r w:rsidR="00F40C29" w:rsidRPr="000666BF">
        <w:rPr>
          <w:rFonts w:ascii="Avenir" w:eastAsia="Calibri" w:hAnsi="Avenir" w:cstheme="minorHAnsi"/>
          <w:color w:val="181717"/>
        </w:rPr>
        <w:t>o address the significant workforce challenges of the I/DD and mental hygiene service delivery systems</w:t>
      </w:r>
      <w:r w:rsidR="007D4A5E">
        <w:rPr>
          <w:rFonts w:ascii="Avenir" w:eastAsia="Calibri" w:hAnsi="Avenir" w:cstheme="minorHAnsi"/>
          <w:color w:val="181717"/>
        </w:rPr>
        <w:t>.</w:t>
      </w:r>
      <w:bookmarkStart w:id="0" w:name="_Hlk95297134"/>
    </w:p>
    <w:p w14:paraId="72FB32CC" w14:textId="77777777" w:rsidR="00AA0729" w:rsidRPr="000666BF" w:rsidRDefault="00FA0B06" w:rsidP="00A620A5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538135" w:themeColor="accent6" w:themeShade="BF"/>
        </w:rPr>
      </w:pPr>
      <w:r w:rsidRPr="000666BF">
        <w:rPr>
          <w:rFonts w:ascii="Avenir" w:eastAsia="Calibri" w:hAnsi="Avenir" w:cstheme="minorHAnsi"/>
          <w:b/>
          <w:bCs/>
          <w:color w:val="538135" w:themeColor="accent6" w:themeShade="BF"/>
        </w:rPr>
        <w:t>RECOMMENDATION</w:t>
      </w:r>
      <w:r w:rsidR="00AA0729" w:rsidRPr="000666BF">
        <w:rPr>
          <w:rFonts w:ascii="Avenir" w:eastAsia="Calibri" w:hAnsi="Avenir" w:cstheme="minorHAnsi"/>
          <w:b/>
          <w:bCs/>
          <w:color w:val="538135" w:themeColor="accent6" w:themeShade="BF"/>
        </w:rPr>
        <w:t xml:space="preserve">:  </w:t>
      </w:r>
    </w:p>
    <w:p w14:paraId="29D8A7DC" w14:textId="77777777" w:rsidR="00D275CB" w:rsidRPr="000666BF" w:rsidRDefault="00D275CB" w:rsidP="000666B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venir" w:eastAsia="Calibri" w:hAnsi="Avenir" w:cstheme="minorHAnsi"/>
          <w:b/>
          <w:bCs/>
          <w:color w:val="181717"/>
        </w:rPr>
      </w:pPr>
      <w:r w:rsidRPr="000666BF">
        <w:rPr>
          <w:rFonts w:ascii="Avenir" w:eastAsia="Calibri" w:hAnsi="Avenir" w:cstheme="minorHAnsi"/>
          <w:b/>
          <w:bCs/>
          <w:color w:val="181717"/>
        </w:rPr>
        <w:t>Include S.7643</w:t>
      </w:r>
      <w:r w:rsidR="000A4078" w:rsidRPr="000666BF">
        <w:rPr>
          <w:rFonts w:ascii="Avenir" w:eastAsia="Calibri" w:hAnsi="Avenir" w:cstheme="minorHAnsi"/>
          <w:b/>
          <w:bCs/>
          <w:color w:val="181717"/>
        </w:rPr>
        <w:t>/A.</w:t>
      </w:r>
      <w:r w:rsidR="00FF1727" w:rsidRPr="000666BF">
        <w:rPr>
          <w:rFonts w:ascii="Avenir" w:eastAsia="Calibri" w:hAnsi="Avenir" w:cstheme="minorHAnsi"/>
          <w:b/>
          <w:bCs/>
          <w:color w:val="181717"/>
        </w:rPr>
        <w:t>9200</w:t>
      </w:r>
      <w:r w:rsidR="00FA0B06" w:rsidRPr="000666BF">
        <w:rPr>
          <w:rFonts w:ascii="Avenir" w:eastAsia="Calibri" w:hAnsi="Avenir" w:cstheme="minorHAnsi"/>
          <w:b/>
          <w:bCs/>
          <w:color w:val="181717"/>
        </w:rPr>
        <w:t xml:space="preserve"> in the final state budget</w:t>
      </w:r>
      <w:r w:rsidRPr="000666BF">
        <w:rPr>
          <w:rFonts w:ascii="Avenir" w:eastAsia="Calibri" w:hAnsi="Avenir" w:cstheme="minorHAnsi"/>
          <w:b/>
          <w:bCs/>
          <w:color w:val="181717"/>
        </w:rPr>
        <w:t xml:space="preserve">, which would establish a refundable personal income tax credit for direct care staff employed by provider </w:t>
      </w:r>
      <w:bookmarkEnd w:id="0"/>
      <w:r w:rsidRPr="000666BF">
        <w:rPr>
          <w:rFonts w:ascii="Avenir" w:eastAsia="Calibri" w:hAnsi="Avenir" w:cstheme="minorHAnsi"/>
          <w:b/>
          <w:bCs/>
          <w:color w:val="181717"/>
        </w:rPr>
        <w:t>agencies.</w:t>
      </w:r>
    </w:p>
    <w:p w14:paraId="77AC5E30" w14:textId="77777777" w:rsidR="00443673" w:rsidRPr="000666BF" w:rsidRDefault="00443673" w:rsidP="00A620A5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181717"/>
        </w:rPr>
      </w:pPr>
    </w:p>
    <w:p w14:paraId="2AA64B47" w14:textId="77777777" w:rsidR="00F40C29" w:rsidRPr="00443673" w:rsidRDefault="00F40C29" w:rsidP="00443673">
      <w:pPr>
        <w:spacing w:after="0" w:line="240" w:lineRule="auto"/>
        <w:rPr>
          <w:rFonts w:ascii="Avenir" w:hAnsi="Avenir" w:cstheme="minorHAnsi"/>
          <w:b/>
          <w:bCs/>
        </w:rPr>
      </w:pPr>
      <w:r w:rsidRPr="00443673">
        <w:rPr>
          <w:rFonts w:ascii="Avenir" w:hAnsi="Avenir" w:cstheme="minorHAnsi"/>
          <w:b/>
          <w:bCs/>
        </w:rPr>
        <w:t xml:space="preserve">NURSES ACROSS NEW YORK </w:t>
      </w:r>
    </w:p>
    <w:p w14:paraId="58FFC319" w14:textId="40273CC3" w:rsidR="006251E4" w:rsidRPr="00D34FB3" w:rsidRDefault="00F40C29" w:rsidP="006251E4">
      <w:pPr>
        <w:spacing w:after="0" w:line="240" w:lineRule="auto"/>
        <w:rPr>
          <w:rFonts w:ascii="Avenir" w:eastAsia="Calibri" w:hAnsi="Avenir" w:cstheme="minorHAnsi"/>
          <w:color w:val="181717"/>
        </w:rPr>
      </w:pPr>
      <w:r w:rsidRPr="000666BF">
        <w:rPr>
          <w:rFonts w:ascii="Avenir" w:eastAsia="Calibri" w:hAnsi="Avenir" w:cstheme="minorHAnsi"/>
          <w:color w:val="181717"/>
        </w:rPr>
        <w:t xml:space="preserve">I/DD providers historically have had challenges in recruiting and retaining essential nursing staff. </w:t>
      </w:r>
    </w:p>
    <w:p w14:paraId="486E3421" w14:textId="77777777" w:rsidR="00D275CB" w:rsidRPr="001A3DE3" w:rsidRDefault="00FA0B06" w:rsidP="00A620A5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ascii="Avenir" w:eastAsia="Calibri" w:hAnsi="Avenir" w:cstheme="minorHAnsi"/>
          <w:b/>
          <w:bCs/>
          <w:color w:val="538135" w:themeColor="accent6" w:themeShade="BF"/>
          <w:sz w:val="24"/>
          <w:szCs w:val="24"/>
        </w:rPr>
        <w:t>RECOMMENDATION</w:t>
      </w:r>
      <w:r w:rsidR="00D275CB" w:rsidRPr="001A3DE3">
        <w:rPr>
          <w:rFonts w:ascii="Avenir" w:eastAsia="Calibri" w:hAnsi="Avenir" w:cstheme="minorHAnsi"/>
          <w:b/>
          <w:bCs/>
          <w:color w:val="538135" w:themeColor="accent6" w:themeShade="BF"/>
          <w:sz w:val="24"/>
          <w:szCs w:val="24"/>
        </w:rPr>
        <w:t xml:space="preserve">:  </w:t>
      </w:r>
    </w:p>
    <w:p w14:paraId="46D2A81C" w14:textId="77777777" w:rsidR="00F40C29" w:rsidRPr="000666BF" w:rsidRDefault="00D275CB" w:rsidP="000666B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venir" w:eastAsia="Calibri" w:hAnsi="Avenir" w:cstheme="minorHAnsi"/>
          <w:b/>
          <w:color w:val="181717"/>
        </w:rPr>
      </w:pPr>
      <w:r w:rsidRPr="000666BF">
        <w:rPr>
          <w:rFonts w:ascii="Avenir" w:eastAsia="Calibri" w:hAnsi="Avenir" w:cstheme="minorHAnsi"/>
          <w:b/>
          <w:color w:val="181717"/>
        </w:rPr>
        <w:t xml:space="preserve">Amend the Health &amp; Mental Hygiene Article VII Part A to specify I/DD and Behavioral Health agencies are included as eligible places of employment for </w:t>
      </w:r>
      <w:r w:rsidR="00FA0B06" w:rsidRPr="000666BF">
        <w:rPr>
          <w:rFonts w:ascii="Avenir" w:eastAsia="Calibri" w:hAnsi="Avenir" w:cstheme="minorHAnsi"/>
          <w:b/>
          <w:color w:val="181717"/>
        </w:rPr>
        <w:t xml:space="preserve">tuition </w:t>
      </w:r>
      <w:r w:rsidRPr="000666BF">
        <w:rPr>
          <w:rFonts w:ascii="Avenir" w:eastAsia="Calibri" w:hAnsi="Avenir" w:cstheme="minorHAnsi"/>
          <w:b/>
          <w:color w:val="181717"/>
        </w:rPr>
        <w:t>loan forgiveness.</w:t>
      </w:r>
    </w:p>
    <w:p w14:paraId="1A881703" w14:textId="77777777" w:rsidR="00AA0729" w:rsidRPr="001A3DE3" w:rsidRDefault="00AA0729" w:rsidP="00A620A5">
      <w:pPr>
        <w:spacing w:after="0" w:line="240" w:lineRule="auto"/>
        <w:ind w:left="1440"/>
        <w:jc w:val="both"/>
        <w:rPr>
          <w:rFonts w:ascii="Avenir" w:hAnsi="Avenir" w:cstheme="minorHAnsi"/>
          <w:b/>
          <w:bCs/>
          <w:sz w:val="24"/>
          <w:szCs w:val="24"/>
        </w:rPr>
      </w:pPr>
    </w:p>
    <w:p w14:paraId="71E78396" w14:textId="77777777" w:rsidR="00AA0729" w:rsidRPr="000666BF" w:rsidRDefault="00AA0729" w:rsidP="000666BF">
      <w:p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hAnsi="Avenir" w:cstheme="minorHAnsi"/>
          <w:b/>
          <w:bCs/>
        </w:rPr>
        <w:t>CAPITAL FUNDING</w:t>
      </w:r>
    </w:p>
    <w:p w14:paraId="5C7E60C7" w14:textId="49E56FE8" w:rsidR="00407A8C" w:rsidRPr="00D34FB3" w:rsidRDefault="00AA0729" w:rsidP="00D34FB3">
      <w:pPr>
        <w:spacing w:after="0" w:line="240" w:lineRule="auto"/>
        <w:rPr>
          <w:rFonts w:ascii="Avenir" w:hAnsi="Avenir" w:cstheme="minorHAnsi"/>
        </w:rPr>
      </w:pPr>
      <w:r w:rsidRPr="000666BF">
        <w:rPr>
          <w:rFonts w:ascii="Avenir" w:eastAsia="Calibri" w:hAnsi="Avenir" w:cstheme="minorHAnsi"/>
          <w:color w:val="181717"/>
        </w:rPr>
        <w:t xml:space="preserve">The Executive Budget proposes authorizing additional funds for the </w:t>
      </w:r>
      <w:r w:rsidRPr="000666BF">
        <w:rPr>
          <w:rFonts w:ascii="Avenir" w:eastAsia="Calibri" w:hAnsi="Avenir" w:cstheme="minorHAnsi"/>
          <w:b/>
          <w:color w:val="181717"/>
        </w:rPr>
        <w:t>Statewide Health Care Transformation Program</w:t>
      </w:r>
      <w:r w:rsidRPr="000666BF">
        <w:rPr>
          <w:rFonts w:ascii="Avenir" w:eastAsia="Calibri" w:hAnsi="Avenir" w:cstheme="minorHAnsi"/>
          <w:color w:val="181717"/>
        </w:rPr>
        <w:t xml:space="preserve"> and new funding for the </w:t>
      </w:r>
      <w:r w:rsidRPr="000666BF">
        <w:rPr>
          <w:rFonts w:ascii="Avenir" w:eastAsia="Calibri" w:hAnsi="Avenir" w:cstheme="minorHAnsi"/>
          <w:b/>
          <w:color w:val="181717"/>
        </w:rPr>
        <w:t>Nonprofit Infrastructure Capital Investment Program</w:t>
      </w:r>
      <w:r w:rsidRPr="000666BF">
        <w:rPr>
          <w:rFonts w:ascii="Avenir" w:eastAsia="Calibri" w:hAnsi="Avenir" w:cstheme="minorHAnsi"/>
          <w:color w:val="181717"/>
        </w:rPr>
        <w:t xml:space="preserve"> </w:t>
      </w:r>
    </w:p>
    <w:p w14:paraId="77538DED" w14:textId="77777777" w:rsidR="00AA0729" w:rsidRPr="000666BF" w:rsidRDefault="00FA0B06" w:rsidP="00A620A5">
      <w:pPr>
        <w:spacing w:after="0" w:line="240" w:lineRule="auto"/>
        <w:ind w:left="1440"/>
        <w:jc w:val="both"/>
        <w:rPr>
          <w:rFonts w:ascii="Avenir" w:eastAsia="Calibri" w:hAnsi="Avenir" w:cstheme="minorHAnsi"/>
          <w:b/>
          <w:bCs/>
          <w:color w:val="538135" w:themeColor="accent6" w:themeShade="BF"/>
        </w:rPr>
      </w:pPr>
      <w:r w:rsidRPr="000666BF">
        <w:rPr>
          <w:rFonts w:ascii="Avenir" w:eastAsia="Calibri" w:hAnsi="Avenir" w:cstheme="minorHAnsi"/>
          <w:b/>
          <w:bCs/>
          <w:color w:val="538135" w:themeColor="accent6" w:themeShade="BF"/>
        </w:rPr>
        <w:t>RECOMMENDATION</w:t>
      </w:r>
      <w:r w:rsidR="00AA0729" w:rsidRPr="000666BF">
        <w:rPr>
          <w:rFonts w:ascii="Avenir" w:eastAsia="Calibri" w:hAnsi="Avenir" w:cstheme="minorHAnsi"/>
          <w:b/>
          <w:bCs/>
          <w:color w:val="538135" w:themeColor="accent6" w:themeShade="BF"/>
        </w:rPr>
        <w:t xml:space="preserve">:  </w:t>
      </w:r>
    </w:p>
    <w:p w14:paraId="5B78C2EB" w14:textId="31516EBD" w:rsidR="00AA0729" w:rsidRPr="000666BF" w:rsidRDefault="00AA0729" w:rsidP="00A620A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eastAsia="Calibri" w:hAnsi="Avenir" w:cstheme="minorHAnsi"/>
          <w:b/>
          <w:color w:val="181717"/>
        </w:rPr>
        <w:t>Accept</w:t>
      </w:r>
      <w:r w:rsidR="00EC3AE3">
        <w:rPr>
          <w:rFonts w:ascii="Avenir" w:eastAsia="Calibri" w:hAnsi="Avenir" w:cstheme="minorHAnsi"/>
          <w:b/>
          <w:color w:val="181717"/>
        </w:rPr>
        <w:t xml:space="preserve"> the</w:t>
      </w:r>
      <w:r w:rsidR="009258A9" w:rsidRPr="000666BF">
        <w:rPr>
          <w:rFonts w:ascii="Avenir" w:eastAsia="Calibri" w:hAnsi="Avenir" w:cstheme="minorHAnsi"/>
          <w:b/>
          <w:color w:val="181717"/>
        </w:rPr>
        <w:t xml:space="preserve"> inclusion of the Nonprofit Infrastructure Capital Investment Program (NICIP).</w:t>
      </w:r>
    </w:p>
    <w:p w14:paraId="42DA9B18" w14:textId="537C7DF0" w:rsidR="009258A9" w:rsidRPr="000666BF" w:rsidRDefault="009258A9" w:rsidP="00A620A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venir" w:hAnsi="Avenir" w:cstheme="minorHAnsi"/>
          <w:b/>
          <w:bCs/>
        </w:rPr>
      </w:pPr>
      <w:r w:rsidRPr="000666BF">
        <w:rPr>
          <w:rFonts w:ascii="Avenir" w:eastAsia="Calibri" w:hAnsi="Avenir" w:cstheme="minorHAnsi"/>
          <w:b/>
          <w:color w:val="181717"/>
        </w:rPr>
        <w:t xml:space="preserve">Amend the Statewide Health Care Facilities Transformation Program (SHCFTP) to include </w:t>
      </w:r>
      <w:r w:rsidR="000347CE" w:rsidRPr="000666BF">
        <w:rPr>
          <w:rFonts w:ascii="Avenir" w:eastAsia="Calibri" w:hAnsi="Avenir" w:cstheme="minorHAnsi"/>
          <w:b/>
          <w:color w:val="181717"/>
        </w:rPr>
        <w:t>communit</w:t>
      </w:r>
      <w:r w:rsidR="000347CE">
        <w:rPr>
          <w:rFonts w:ascii="Avenir" w:eastAsia="Calibri" w:hAnsi="Avenir" w:cstheme="minorHAnsi"/>
          <w:b/>
          <w:color w:val="181717"/>
        </w:rPr>
        <w:t>y</w:t>
      </w:r>
      <w:r w:rsidR="000347CE" w:rsidRPr="000666BF">
        <w:rPr>
          <w:rFonts w:ascii="Avenir" w:eastAsia="Calibri" w:hAnsi="Avenir" w:cstheme="minorHAnsi"/>
          <w:b/>
          <w:color w:val="181717"/>
        </w:rPr>
        <w:t xml:space="preserve"> based</w:t>
      </w:r>
      <w:r w:rsidRPr="000666BF">
        <w:rPr>
          <w:rFonts w:ascii="Avenir" w:eastAsia="Calibri" w:hAnsi="Avenir" w:cstheme="minorHAnsi"/>
          <w:b/>
          <w:color w:val="181717"/>
        </w:rPr>
        <w:t xml:space="preserve"> </w:t>
      </w:r>
      <w:r w:rsidR="00FA0B06" w:rsidRPr="000666BF">
        <w:rPr>
          <w:rFonts w:ascii="Avenir" w:eastAsia="Calibri" w:hAnsi="Avenir" w:cstheme="minorHAnsi"/>
          <w:b/>
          <w:color w:val="181717"/>
        </w:rPr>
        <w:t>I/DD</w:t>
      </w:r>
      <w:r w:rsidRPr="000666BF">
        <w:rPr>
          <w:rFonts w:ascii="Avenir" w:eastAsia="Calibri" w:hAnsi="Avenir" w:cstheme="minorHAnsi"/>
          <w:b/>
          <w:color w:val="181717"/>
        </w:rPr>
        <w:t xml:space="preserve"> providers, that are authorized, approved and/or funded by OPWDD, as eligible participants.</w:t>
      </w:r>
    </w:p>
    <w:p w14:paraId="577CCCDF" w14:textId="14B4798A" w:rsidR="00407A8C" w:rsidRDefault="00407A8C" w:rsidP="000666BF">
      <w:pPr>
        <w:pStyle w:val="ListParagraph"/>
        <w:spacing w:after="0" w:line="240" w:lineRule="auto"/>
        <w:ind w:left="2160"/>
        <w:jc w:val="both"/>
        <w:rPr>
          <w:rFonts w:ascii="Avenir" w:hAnsi="Avenir" w:cstheme="minorHAnsi"/>
          <w:b/>
          <w:bCs/>
        </w:rPr>
      </w:pPr>
    </w:p>
    <w:p w14:paraId="6AA75E79" w14:textId="00FEA957" w:rsidR="0037211A" w:rsidRDefault="0037211A" w:rsidP="000666BF">
      <w:pPr>
        <w:pStyle w:val="ListParagraph"/>
        <w:spacing w:after="0" w:line="240" w:lineRule="auto"/>
        <w:ind w:left="2160"/>
        <w:jc w:val="both"/>
        <w:rPr>
          <w:rFonts w:ascii="Avenir" w:hAnsi="Avenir" w:cstheme="minorHAnsi"/>
          <w:b/>
          <w:bCs/>
        </w:rPr>
      </w:pPr>
    </w:p>
    <w:p w14:paraId="44B32634" w14:textId="27CD6A31" w:rsidR="00EC3AE3" w:rsidRDefault="00EC3AE3" w:rsidP="000666BF">
      <w:pPr>
        <w:pStyle w:val="ListParagraph"/>
        <w:spacing w:after="0" w:line="240" w:lineRule="auto"/>
        <w:ind w:left="2160"/>
        <w:jc w:val="both"/>
        <w:rPr>
          <w:rFonts w:ascii="Avenir" w:hAnsi="Avenir" w:cstheme="minorHAnsi"/>
          <w:b/>
          <w:bCs/>
        </w:rPr>
      </w:pPr>
    </w:p>
    <w:p w14:paraId="0E6F9BD1" w14:textId="77777777" w:rsidR="00EC3AE3" w:rsidRDefault="00EC3AE3" w:rsidP="000666BF">
      <w:pPr>
        <w:pStyle w:val="ListParagraph"/>
        <w:spacing w:after="0" w:line="240" w:lineRule="auto"/>
        <w:ind w:left="2160"/>
        <w:jc w:val="both"/>
        <w:rPr>
          <w:rFonts w:ascii="Avenir" w:hAnsi="Avenir" w:cstheme="minorHAnsi"/>
          <w:b/>
          <w:bCs/>
        </w:rPr>
      </w:pPr>
    </w:p>
    <w:p w14:paraId="58CC2951" w14:textId="77777777" w:rsidR="00663047" w:rsidRPr="000666BF" w:rsidRDefault="00663047" w:rsidP="00EC3AE3">
      <w:pPr>
        <w:spacing w:after="0" w:line="240" w:lineRule="auto"/>
        <w:jc w:val="both"/>
        <w:rPr>
          <w:rFonts w:ascii="Avenir" w:hAnsi="Avenir" w:cstheme="minorHAnsi"/>
          <w:b/>
        </w:rPr>
      </w:pPr>
    </w:p>
    <w:p w14:paraId="52EDB9C8" w14:textId="534853F6" w:rsidR="00775C11" w:rsidRPr="000666BF" w:rsidRDefault="00775C11" w:rsidP="000666BF">
      <w:pPr>
        <w:shd w:val="clear" w:color="auto" w:fill="1F4E79" w:themeFill="accent1" w:themeFillShade="80"/>
        <w:jc w:val="both"/>
        <w:rPr>
          <w:rFonts w:ascii="Avenir" w:hAnsi="Avenir" w:cs="Times New Roman"/>
          <w:b/>
          <w:color w:val="FFFFFF" w:themeColor="background1"/>
          <w:sz w:val="24"/>
          <w:szCs w:val="24"/>
        </w:rPr>
      </w:pPr>
      <w:r w:rsidRPr="000666BF">
        <w:rPr>
          <w:rFonts w:ascii="Avenir" w:hAnsi="Avenir" w:cs="Times New Roman"/>
          <w:b/>
          <w:color w:val="FFFFFF" w:themeColor="background1"/>
          <w:sz w:val="24"/>
          <w:szCs w:val="24"/>
        </w:rPr>
        <w:t>STATE EDUCATION DEPARTMENT</w:t>
      </w:r>
    </w:p>
    <w:p w14:paraId="4B9FB965" w14:textId="5077C056" w:rsidR="00AB05B2" w:rsidRPr="001A3DE3" w:rsidRDefault="00C27CD7" w:rsidP="00AB05B2">
      <w:pPr>
        <w:spacing w:after="0" w:line="240" w:lineRule="auto"/>
        <w:jc w:val="both"/>
        <w:rPr>
          <w:rFonts w:ascii="Avenir" w:hAnsi="Avenir" w:cs="Times New Roman"/>
          <w:b/>
          <w:color w:val="538135" w:themeColor="accent6" w:themeShade="BF"/>
          <w:sz w:val="24"/>
          <w:szCs w:val="24"/>
        </w:rPr>
      </w:pPr>
      <w:r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WE WHOLEHEARTEDLY SUPPORT </w:t>
      </w:r>
      <w:r w:rsidR="00AB05B2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THE 11% INCREASE PROPOSED BY THE GOVERNOR </w:t>
      </w:r>
      <w:r w:rsidR="0027230F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BUT </w:t>
      </w:r>
      <w:r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WITHOUT </w:t>
      </w:r>
      <w:r w:rsidR="007858C8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>MODIFICATIONS</w:t>
      </w:r>
      <w:r w:rsidR="00165B3C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>,</w:t>
      </w:r>
      <w:r w:rsidR="00AB05B2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 THE DOLLARS </w:t>
      </w:r>
      <w:r w:rsidR="0027230F" w:rsidRPr="000666BF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WILL </w:t>
      </w:r>
      <w:r w:rsidR="004313BA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>BE RECOUPED BY THE STATE</w:t>
      </w:r>
      <w:r w:rsidR="007D4A5E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>.</w:t>
      </w:r>
      <w:r w:rsidR="004313BA">
        <w:rPr>
          <w:rFonts w:ascii="Avenir" w:hAnsi="Avenir" w:cs="Times New Roman"/>
          <w:b/>
          <w:color w:val="538135" w:themeColor="accent6" w:themeShade="BF"/>
          <w:sz w:val="24"/>
          <w:szCs w:val="24"/>
        </w:rPr>
        <w:t xml:space="preserve"> </w:t>
      </w:r>
    </w:p>
    <w:p w14:paraId="4E2298B7" w14:textId="77777777" w:rsidR="00937286" w:rsidRDefault="00937286" w:rsidP="000666BF">
      <w:pPr>
        <w:spacing w:after="0" w:line="240" w:lineRule="auto"/>
        <w:ind w:firstLine="360"/>
        <w:jc w:val="both"/>
        <w:rPr>
          <w:rFonts w:ascii="Avenir" w:hAnsi="Avenir" w:cs="Times New Roman"/>
        </w:rPr>
      </w:pPr>
    </w:p>
    <w:p w14:paraId="18890F6F" w14:textId="3EB8AF1C" w:rsidR="00775C11" w:rsidRPr="000666BF" w:rsidRDefault="00775C11" w:rsidP="000666BF">
      <w:pPr>
        <w:spacing w:after="0" w:line="240" w:lineRule="auto"/>
        <w:ind w:firstLine="360"/>
        <w:jc w:val="both"/>
        <w:rPr>
          <w:rFonts w:ascii="Avenir" w:hAnsi="Avenir" w:cs="Times New Roman"/>
          <w:color w:val="538135" w:themeColor="accent6" w:themeShade="BF"/>
        </w:rPr>
      </w:pPr>
      <w:r w:rsidRPr="000666BF">
        <w:rPr>
          <w:rFonts w:ascii="Avenir" w:hAnsi="Avenir" w:cs="Times New Roman"/>
          <w:b/>
          <w:bCs/>
          <w:color w:val="538135" w:themeColor="accent6" w:themeShade="BF"/>
        </w:rPr>
        <w:t>RECOMMENDATION</w:t>
      </w:r>
      <w:r w:rsidR="00B95F14" w:rsidRPr="000666BF">
        <w:rPr>
          <w:rFonts w:ascii="Avenir" w:hAnsi="Avenir" w:cs="Times New Roman"/>
          <w:b/>
          <w:bCs/>
          <w:color w:val="538135" w:themeColor="accent6" w:themeShade="BF"/>
        </w:rPr>
        <w:t>S</w:t>
      </w:r>
      <w:r w:rsidRPr="000666BF">
        <w:rPr>
          <w:rFonts w:ascii="Avenir" w:hAnsi="Avenir" w:cs="Times New Roman"/>
          <w:b/>
          <w:bCs/>
          <w:color w:val="538135" w:themeColor="accent6" w:themeShade="BF"/>
        </w:rPr>
        <w:t>:</w:t>
      </w:r>
      <w:r w:rsidRPr="000666BF">
        <w:rPr>
          <w:rFonts w:ascii="Avenir" w:hAnsi="Avenir" w:cs="Times New Roman"/>
          <w:color w:val="538135" w:themeColor="accent6" w:themeShade="BF"/>
        </w:rPr>
        <w:t xml:space="preserve">  </w:t>
      </w:r>
    </w:p>
    <w:p w14:paraId="5D21D6E3" w14:textId="1DABA49A" w:rsidR="00B95F14" w:rsidRPr="00D34FB3" w:rsidRDefault="000A4193" w:rsidP="00D34FB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venir" w:hAnsi="Avenir" w:cs="Times New Roman"/>
          <w:b/>
          <w:bCs/>
        </w:rPr>
      </w:pPr>
      <w:r>
        <w:rPr>
          <w:rFonts w:ascii="Avenir" w:hAnsi="Avenir" w:cs="Times New Roman"/>
          <w:b/>
          <w:bCs/>
        </w:rPr>
        <w:t>Support SED’s proposal to d</w:t>
      </w:r>
      <w:r w:rsidR="00B95F14" w:rsidRPr="00443673">
        <w:rPr>
          <w:rFonts w:ascii="Avenir" w:hAnsi="Avenir" w:cs="Times New Roman"/>
          <w:b/>
          <w:bCs/>
        </w:rPr>
        <w:t>iscontinue Rate Reconciliation</w:t>
      </w:r>
      <w:r w:rsidR="002C0732" w:rsidRPr="00443673">
        <w:rPr>
          <w:rFonts w:ascii="Avenir" w:hAnsi="Avenir" w:cs="Times New Roman"/>
          <w:b/>
          <w:bCs/>
        </w:rPr>
        <w:t xml:space="preserve"> for five years while a new rate methodology is created</w:t>
      </w:r>
      <w:r w:rsidR="00AB05B2" w:rsidRPr="00443673">
        <w:rPr>
          <w:rFonts w:ascii="Avenir" w:hAnsi="Avenir" w:cs="Times New Roman"/>
          <w:b/>
          <w:bCs/>
        </w:rPr>
        <w:t xml:space="preserve"> </w:t>
      </w:r>
      <w:r w:rsidR="00D34FB3">
        <w:rPr>
          <w:rFonts w:ascii="Avenir" w:hAnsi="Avenir" w:cs="Times New Roman"/>
          <w:b/>
        </w:rPr>
        <w:t>and a</w:t>
      </w:r>
      <w:r w:rsidR="00D34FB3" w:rsidRPr="00937286">
        <w:rPr>
          <w:rFonts w:ascii="Avenir" w:hAnsi="Avenir" w:cs="Times New Roman"/>
          <w:b/>
        </w:rPr>
        <w:t>pprove SED’s request for $1.25 million to develop a new, tuition rate methodology with stakeholder input.</w:t>
      </w:r>
    </w:p>
    <w:p w14:paraId="763D99D4" w14:textId="77777777" w:rsidR="004B6728" w:rsidRPr="00443673" w:rsidRDefault="00B95F14" w:rsidP="0044367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venir" w:hAnsi="Avenir" w:cs="Times New Roman"/>
          <w:b/>
          <w:bCs/>
        </w:rPr>
      </w:pPr>
      <w:r w:rsidRPr="00443673">
        <w:rPr>
          <w:rFonts w:ascii="Avenir" w:hAnsi="Avenir" w:cs="Times New Roman"/>
          <w:b/>
          <w:bCs/>
        </w:rPr>
        <w:t>Hold provider</w:t>
      </w:r>
      <w:r w:rsidR="000A4193">
        <w:rPr>
          <w:rFonts w:ascii="Avenir" w:hAnsi="Avenir" w:cs="Times New Roman"/>
          <w:b/>
          <w:bCs/>
        </w:rPr>
        <w:t>s</w:t>
      </w:r>
      <w:r w:rsidRPr="00443673">
        <w:rPr>
          <w:rFonts w:ascii="Avenir" w:hAnsi="Avenir" w:cs="Times New Roman"/>
          <w:b/>
          <w:bCs/>
        </w:rPr>
        <w:t xml:space="preserve"> harmless for any part of the cost screens for under enrollment of 5% and staff vacancies</w:t>
      </w:r>
      <w:r w:rsidR="004B6728" w:rsidRPr="00443673">
        <w:rPr>
          <w:rFonts w:ascii="Avenir" w:hAnsi="Avenir" w:cs="Times New Roman"/>
          <w:b/>
          <w:bCs/>
        </w:rPr>
        <w:t xml:space="preserve"> and adjust the 70/30 cost screen to more accurately reflect direct vs. indirect costs</w:t>
      </w:r>
    </w:p>
    <w:p w14:paraId="0CB4952E" w14:textId="77777777" w:rsidR="00937286" w:rsidRDefault="00B95F14" w:rsidP="0093728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venir" w:hAnsi="Avenir" w:cs="Times New Roman"/>
          <w:b/>
          <w:bCs/>
        </w:rPr>
      </w:pPr>
      <w:r w:rsidRPr="00443673">
        <w:rPr>
          <w:rFonts w:ascii="Avenir" w:hAnsi="Avenir" w:cs="Times New Roman"/>
          <w:b/>
          <w:bCs/>
        </w:rPr>
        <w:t>Implement Interim-Plus Rates</w:t>
      </w:r>
      <w:r w:rsidR="006F2DB5" w:rsidRPr="00443673">
        <w:rPr>
          <w:rFonts w:ascii="Avenir" w:hAnsi="Avenir" w:cs="Times New Roman"/>
          <w:b/>
          <w:bCs/>
        </w:rPr>
        <w:t xml:space="preserve"> </w:t>
      </w:r>
      <w:r w:rsidR="004B6728" w:rsidRPr="00443673">
        <w:rPr>
          <w:rFonts w:ascii="Avenir" w:hAnsi="Avenir" w:cs="Times New Roman"/>
          <w:b/>
          <w:bCs/>
        </w:rPr>
        <w:t>and</w:t>
      </w:r>
      <w:r w:rsidR="006F2DB5" w:rsidRPr="00443673">
        <w:rPr>
          <w:rFonts w:ascii="Avenir" w:hAnsi="Avenir" w:cs="Times New Roman"/>
          <w:b/>
          <w:bCs/>
        </w:rPr>
        <w:t xml:space="preserve"> include all applicable approved tuition reimbursement growth since </w:t>
      </w:r>
      <w:r w:rsidR="004B6728" w:rsidRPr="00443673">
        <w:rPr>
          <w:rFonts w:ascii="Avenir" w:hAnsi="Avenir" w:cs="Times New Roman"/>
          <w:b/>
          <w:bCs/>
        </w:rPr>
        <w:t>each school’s</w:t>
      </w:r>
      <w:r w:rsidR="006F2DB5" w:rsidRPr="00443673">
        <w:rPr>
          <w:rFonts w:ascii="Avenir" w:hAnsi="Avenir" w:cs="Times New Roman"/>
          <w:b/>
          <w:bCs/>
        </w:rPr>
        <w:t xml:space="preserve"> last official rate.</w:t>
      </w:r>
    </w:p>
    <w:p w14:paraId="7A9647FE" w14:textId="23FE96F5" w:rsidR="00AC322D" w:rsidRPr="00937286" w:rsidRDefault="00576534" w:rsidP="0093728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venir" w:hAnsi="Avenir" w:cs="Times New Roman"/>
          <w:b/>
          <w:bCs/>
        </w:rPr>
      </w:pPr>
      <w:r w:rsidRPr="00937286">
        <w:rPr>
          <w:rFonts w:ascii="Avenir" w:hAnsi="Avenir" w:cs="Times New Roman"/>
          <w:b/>
        </w:rPr>
        <w:t xml:space="preserve">Establish a </w:t>
      </w:r>
      <w:proofErr w:type="gramStart"/>
      <w:r w:rsidR="00AC322D" w:rsidRPr="00937286">
        <w:rPr>
          <w:rFonts w:ascii="Avenir" w:hAnsi="Avenir" w:cs="Times New Roman"/>
          <w:b/>
        </w:rPr>
        <w:t>4410 reserve</w:t>
      </w:r>
      <w:proofErr w:type="gramEnd"/>
      <w:r w:rsidR="00AC322D" w:rsidRPr="00937286">
        <w:rPr>
          <w:rFonts w:ascii="Avenir" w:hAnsi="Avenir" w:cs="Times New Roman"/>
          <w:b/>
        </w:rPr>
        <w:t xml:space="preserve"> fund </w:t>
      </w:r>
      <w:r w:rsidRPr="00937286">
        <w:rPr>
          <w:rFonts w:ascii="Avenir" w:hAnsi="Avenir" w:cs="Times New Roman"/>
          <w:b/>
        </w:rPr>
        <w:t>similar to other schools</w:t>
      </w:r>
    </w:p>
    <w:p w14:paraId="7254DD6C" w14:textId="77777777" w:rsidR="00775E92" w:rsidRDefault="00775E92" w:rsidP="00443673">
      <w:pPr>
        <w:spacing w:after="0" w:line="240" w:lineRule="auto"/>
        <w:jc w:val="both"/>
        <w:rPr>
          <w:rFonts w:ascii="Avenir" w:hAnsi="Avenir" w:cs="Times New Roman"/>
          <w:b/>
          <w:bCs/>
          <w:sz w:val="24"/>
          <w:szCs w:val="24"/>
        </w:rPr>
      </w:pPr>
    </w:p>
    <w:p w14:paraId="3CBF65B5" w14:textId="77777777" w:rsidR="00260DE8" w:rsidRDefault="00260DE8" w:rsidP="009E2707">
      <w:pPr>
        <w:rPr>
          <w:rFonts w:ascii="Avenir" w:eastAsia="Times New Roman" w:hAnsi="Avenir" w:cs="Times New Roman"/>
          <w:sz w:val="20"/>
          <w:szCs w:val="20"/>
        </w:rPr>
      </w:pPr>
      <w:r>
        <w:rPr>
          <w:rFonts w:ascii="Avenir" w:hAnsi="Avenir" w:cs="Times New Roman"/>
          <w:b/>
          <w:bCs/>
          <w:color w:val="538135" w:themeColor="accent6" w:themeShade="BF"/>
          <w:sz w:val="24"/>
          <w:szCs w:val="24"/>
        </w:rPr>
        <w:t>TEACHER SHORTAGES</w:t>
      </w:r>
    </w:p>
    <w:p w14:paraId="15AD92C5" w14:textId="77777777" w:rsidR="001C18EB" w:rsidRPr="000666BF" w:rsidRDefault="001C18EB" w:rsidP="009E2707">
      <w:pPr>
        <w:rPr>
          <w:rFonts w:ascii="Avenir" w:eastAsia="Times New Roman" w:hAnsi="Avenir" w:cs="Times New Roman"/>
        </w:rPr>
      </w:pPr>
      <w:r w:rsidRPr="000666BF">
        <w:rPr>
          <w:rFonts w:ascii="Avenir" w:eastAsia="Times New Roman" w:hAnsi="Avenir" w:cs="Times New Roman"/>
        </w:rPr>
        <w:t xml:space="preserve">Teacher shortages in general and special education </w:t>
      </w:r>
      <w:proofErr w:type="gramStart"/>
      <w:r w:rsidRPr="000666BF">
        <w:rPr>
          <w:rFonts w:ascii="Avenir" w:eastAsia="Times New Roman" w:hAnsi="Avenir" w:cs="Times New Roman"/>
        </w:rPr>
        <w:t>in particular make</w:t>
      </w:r>
      <w:proofErr w:type="gramEnd"/>
      <w:r w:rsidRPr="000666BF">
        <w:rPr>
          <w:rFonts w:ascii="Avenir" w:eastAsia="Times New Roman" w:hAnsi="Avenir" w:cs="Times New Roman"/>
        </w:rPr>
        <w:t xml:space="preserve"> it even harder for our schools to recruit and retain the certified teachers our children have a right to.  </w:t>
      </w:r>
    </w:p>
    <w:p w14:paraId="5AF0D1EB" w14:textId="77777777" w:rsidR="00EC3AE3" w:rsidRDefault="00260DE8" w:rsidP="00EC3AE3">
      <w:pPr>
        <w:ind w:firstLine="720"/>
        <w:contextualSpacing/>
        <w:rPr>
          <w:rFonts w:ascii="Avenir" w:eastAsia="Times New Roman" w:hAnsi="Avenir" w:cs="Times New Roman"/>
          <w:b/>
          <w:color w:val="538135" w:themeColor="accent6" w:themeShade="BF"/>
        </w:rPr>
      </w:pPr>
      <w:r w:rsidRPr="000666BF">
        <w:rPr>
          <w:rFonts w:ascii="Avenir" w:eastAsia="Times New Roman" w:hAnsi="Avenir" w:cs="Times New Roman"/>
          <w:b/>
          <w:color w:val="538135" w:themeColor="accent6" w:themeShade="BF"/>
        </w:rPr>
        <w:t>RECOMMENDATION:</w:t>
      </w:r>
    </w:p>
    <w:p w14:paraId="1AA87B65" w14:textId="4C40545A" w:rsidR="00663047" w:rsidRPr="00EC3AE3" w:rsidRDefault="001C18EB" w:rsidP="00EC3AE3">
      <w:pPr>
        <w:pStyle w:val="ListParagraph"/>
        <w:numPr>
          <w:ilvl w:val="0"/>
          <w:numId w:val="46"/>
        </w:numPr>
        <w:rPr>
          <w:rFonts w:ascii="Avenir" w:eastAsia="Times New Roman" w:hAnsi="Avenir" w:cs="Times New Roman"/>
          <w:b/>
          <w:color w:val="538135" w:themeColor="accent6" w:themeShade="BF"/>
        </w:rPr>
      </w:pPr>
      <w:r w:rsidRPr="00EC3AE3">
        <w:rPr>
          <w:rFonts w:ascii="Avenir" w:eastAsia="Times New Roman" w:hAnsi="Avenir" w:cs="Times New Roman"/>
          <w:b/>
        </w:rPr>
        <w:t xml:space="preserve">We ask that 4410 and 853 schools be included in the Governor’s initiatives to increase the number </w:t>
      </w:r>
      <w:r w:rsidR="00CC54A6" w:rsidRPr="00EC3AE3">
        <w:rPr>
          <w:rFonts w:ascii="Avenir" w:eastAsia="Times New Roman" w:hAnsi="Avenir" w:cs="Times New Roman"/>
          <w:b/>
        </w:rPr>
        <w:t>of certified teachers including</w:t>
      </w:r>
      <w:r w:rsidR="007D4A5E" w:rsidRPr="00EC3AE3">
        <w:rPr>
          <w:rFonts w:ascii="Avenir" w:eastAsia="Times New Roman" w:hAnsi="Avenir" w:cs="Times New Roman"/>
          <w:b/>
        </w:rPr>
        <w:t xml:space="preserve">: </w:t>
      </w:r>
      <w:r w:rsidRPr="00EC3AE3">
        <w:rPr>
          <w:rFonts w:ascii="Avenir" w:eastAsia="Times New Roman" w:hAnsi="Avenir" w:cs="Times New Roman"/>
          <w:b/>
        </w:rPr>
        <w:t>Expanding Alt</w:t>
      </w:r>
      <w:r w:rsidR="00CC54A6" w:rsidRPr="00EC3AE3">
        <w:rPr>
          <w:rFonts w:ascii="Avenir" w:eastAsia="Times New Roman" w:hAnsi="Avenir" w:cs="Times New Roman"/>
          <w:b/>
        </w:rPr>
        <w:t>ernative Teacher Certification</w:t>
      </w:r>
      <w:r w:rsidR="007D4A5E" w:rsidRPr="00EC3AE3">
        <w:rPr>
          <w:rFonts w:ascii="Avenir" w:eastAsia="Times New Roman" w:hAnsi="Avenir" w:cs="Times New Roman"/>
          <w:b/>
        </w:rPr>
        <w:t xml:space="preserve">; </w:t>
      </w:r>
      <w:r w:rsidR="009F1562" w:rsidRPr="00EC3AE3">
        <w:rPr>
          <w:rFonts w:ascii="Avenir" w:eastAsia="Times New Roman" w:hAnsi="Avenir" w:cs="Times New Roman"/>
          <w:b/>
        </w:rPr>
        <w:t>Acceleration of the</w:t>
      </w:r>
      <w:r w:rsidR="00CC54A6" w:rsidRPr="00EC3AE3">
        <w:rPr>
          <w:rFonts w:ascii="Avenir" w:eastAsia="Times New Roman" w:hAnsi="Avenir" w:cs="Times New Roman"/>
          <w:b/>
        </w:rPr>
        <w:t xml:space="preserve"> Teacher Certification Process</w:t>
      </w:r>
      <w:r w:rsidR="007D4A5E" w:rsidRPr="00EC3AE3">
        <w:rPr>
          <w:rFonts w:ascii="Avenir" w:eastAsia="Times New Roman" w:hAnsi="Avenir" w:cs="Times New Roman"/>
          <w:b/>
        </w:rPr>
        <w:t xml:space="preserve">; </w:t>
      </w:r>
      <w:r w:rsidR="002F0FCC" w:rsidRPr="00EC3AE3">
        <w:rPr>
          <w:rFonts w:ascii="Avenir" w:eastAsia="Times New Roman" w:hAnsi="Avenir" w:cs="Times New Roman"/>
          <w:b/>
        </w:rPr>
        <w:t>C</w:t>
      </w:r>
      <w:r w:rsidRPr="00EC3AE3">
        <w:rPr>
          <w:rFonts w:ascii="Avenir" w:eastAsia="Times New Roman" w:hAnsi="Avenir" w:cs="Times New Roman"/>
          <w:b/>
        </w:rPr>
        <w:t>reation of the Empire State Teacher Re</w:t>
      </w:r>
      <w:r w:rsidR="0025063F" w:rsidRPr="00EC3AE3">
        <w:rPr>
          <w:rFonts w:ascii="Avenir" w:eastAsia="Times New Roman" w:hAnsi="Avenir" w:cs="Times New Roman"/>
          <w:b/>
        </w:rPr>
        <w:t>s</w:t>
      </w:r>
      <w:r w:rsidRPr="00EC3AE3">
        <w:rPr>
          <w:rFonts w:ascii="Avenir" w:eastAsia="Times New Roman" w:hAnsi="Avenir" w:cs="Times New Roman"/>
          <w:b/>
        </w:rPr>
        <w:t>idency Program and</w:t>
      </w:r>
      <w:r w:rsidR="007D4A5E" w:rsidRPr="00EC3AE3">
        <w:rPr>
          <w:rFonts w:ascii="Avenir" w:eastAsia="Times New Roman" w:hAnsi="Avenir" w:cs="Times New Roman"/>
          <w:b/>
        </w:rPr>
        <w:t xml:space="preserve"> </w:t>
      </w:r>
      <w:r w:rsidR="002F0FCC" w:rsidRPr="00EC3AE3">
        <w:rPr>
          <w:rFonts w:ascii="Avenir" w:eastAsia="Times New Roman" w:hAnsi="Avenir" w:cs="Times New Roman"/>
          <w:b/>
        </w:rPr>
        <w:t>I</w:t>
      </w:r>
      <w:r w:rsidR="00805893" w:rsidRPr="00EC3AE3">
        <w:rPr>
          <w:rFonts w:ascii="Avenir" w:eastAsia="Times New Roman" w:hAnsi="Avenir" w:cs="Times New Roman"/>
          <w:b/>
        </w:rPr>
        <w:t>mplementation</w:t>
      </w:r>
      <w:r w:rsidR="009F1562" w:rsidRPr="00EC3AE3">
        <w:rPr>
          <w:rFonts w:ascii="Avenir" w:eastAsia="Times New Roman" w:hAnsi="Avenir" w:cs="Times New Roman"/>
          <w:b/>
        </w:rPr>
        <w:t xml:space="preserve"> of a program to</w:t>
      </w:r>
      <w:r w:rsidR="00CC54A6" w:rsidRPr="00EC3AE3">
        <w:rPr>
          <w:rFonts w:ascii="Avenir" w:eastAsia="Times New Roman" w:hAnsi="Avenir" w:cs="Times New Roman"/>
          <w:b/>
        </w:rPr>
        <w:t xml:space="preserve"> u</w:t>
      </w:r>
      <w:r w:rsidRPr="00EC3AE3">
        <w:rPr>
          <w:rFonts w:ascii="Avenir" w:eastAsia="Times New Roman" w:hAnsi="Avenir" w:cs="Times New Roman"/>
          <w:b/>
        </w:rPr>
        <w:t xml:space="preserve">pskill </w:t>
      </w:r>
      <w:r w:rsidR="009F1562" w:rsidRPr="00EC3AE3">
        <w:rPr>
          <w:rFonts w:ascii="Avenir" w:eastAsia="Times New Roman" w:hAnsi="Avenir" w:cs="Times New Roman"/>
          <w:b/>
        </w:rPr>
        <w:t>paraprofessionals and teaching assistants</w:t>
      </w:r>
      <w:r w:rsidR="00CC54A6" w:rsidRPr="00EC3AE3">
        <w:rPr>
          <w:rFonts w:ascii="Avenir" w:eastAsia="Times New Roman" w:hAnsi="Avenir" w:cs="Times New Roman"/>
          <w:b/>
        </w:rPr>
        <w:t xml:space="preserve"> to earn their c</w:t>
      </w:r>
      <w:r w:rsidRPr="00EC3AE3">
        <w:rPr>
          <w:rFonts w:ascii="Avenir" w:eastAsia="Times New Roman" w:hAnsi="Avenir" w:cs="Times New Roman"/>
          <w:b/>
        </w:rPr>
        <w:t>ertifications</w:t>
      </w:r>
      <w:r w:rsidR="00663047" w:rsidRPr="00EC3AE3">
        <w:rPr>
          <w:rFonts w:ascii="Avenir" w:hAnsi="Avenir" w:cstheme="minorHAnsi"/>
          <w:sz w:val="24"/>
          <w:szCs w:val="24"/>
        </w:rPr>
        <w:tab/>
      </w:r>
      <w:r w:rsidR="00663047" w:rsidRPr="00EC3AE3">
        <w:rPr>
          <w:rFonts w:ascii="Avenir" w:hAnsi="Avenir" w:cstheme="minorHAnsi"/>
          <w:sz w:val="24"/>
          <w:szCs w:val="24"/>
        </w:rPr>
        <w:tab/>
      </w:r>
    </w:p>
    <w:p w14:paraId="4C928804" w14:textId="77777777" w:rsidR="00663047" w:rsidRPr="001A3DE3" w:rsidRDefault="00663047" w:rsidP="00663047">
      <w:pPr>
        <w:shd w:val="clear" w:color="auto" w:fill="2F5496" w:themeFill="accent5" w:themeFillShade="BF"/>
        <w:spacing w:after="0" w:line="240" w:lineRule="auto"/>
        <w:jc w:val="both"/>
        <w:rPr>
          <w:rFonts w:ascii="Avenir" w:hAnsi="Avenir" w:cstheme="minorHAnsi"/>
          <w:b/>
          <w:color w:val="FFFFFF" w:themeColor="background1"/>
          <w:sz w:val="24"/>
          <w:szCs w:val="24"/>
        </w:rPr>
      </w:pPr>
      <w:r w:rsidRPr="001A3DE3">
        <w:rPr>
          <w:rFonts w:ascii="Avenir" w:hAnsi="Avenir" w:cstheme="minorHAnsi"/>
          <w:b/>
          <w:color w:val="FFFFFF" w:themeColor="background1"/>
          <w:sz w:val="24"/>
          <w:szCs w:val="24"/>
        </w:rPr>
        <w:t>DEPARTMENT OF HEALTH</w:t>
      </w:r>
    </w:p>
    <w:p w14:paraId="2C78CF61" w14:textId="77777777" w:rsidR="00663047" w:rsidRPr="001A3DE3" w:rsidRDefault="00663047" w:rsidP="00663047">
      <w:pPr>
        <w:spacing w:after="0" w:line="240" w:lineRule="auto"/>
        <w:jc w:val="both"/>
        <w:rPr>
          <w:rFonts w:ascii="Avenir" w:hAnsi="Avenir" w:cstheme="minorHAnsi"/>
          <w:b/>
          <w:color w:val="2F5496" w:themeColor="accent5" w:themeShade="BF"/>
          <w:sz w:val="24"/>
          <w:szCs w:val="24"/>
        </w:rPr>
      </w:pPr>
    </w:p>
    <w:p w14:paraId="31B8927B" w14:textId="77777777" w:rsidR="00663047" w:rsidRPr="000666BF" w:rsidRDefault="00663047" w:rsidP="00663047">
      <w:pPr>
        <w:spacing w:after="0" w:line="240" w:lineRule="auto"/>
        <w:jc w:val="both"/>
        <w:rPr>
          <w:rFonts w:ascii="Avenir" w:hAnsi="Avenir" w:cstheme="minorHAnsi"/>
          <w:b/>
          <w:color w:val="538135" w:themeColor="accent6" w:themeShade="BF"/>
          <w:sz w:val="24"/>
          <w:szCs w:val="24"/>
        </w:rPr>
      </w:pPr>
      <w:r w:rsidRPr="000666BF">
        <w:rPr>
          <w:rFonts w:ascii="Avenir" w:hAnsi="Avenir" w:cstheme="minorHAnsi"/>
          <w:b/>
          <w:color w:val="538135" w:themeColor="accent6" w:themeShade="BF"/>
          <w:sz w:val="24"/>
          <w:szCs w:val="24"/>
        </w:rPr>
        <w:t>MRT #26 CUT TO ARTICLE 16 CLINICS</w:t>
      </w:r>
    </w:p>
    <w:p w14:paraId="10D85526" w14:textId="1C121F81" w:rsidR="00663047" w:rsidRPr="000666BF" w:rsidRDefault="00663047" w:rsidP="00663047">
      <w:pPr>
        <w:spacing w:after="0" w:line="240" w:lineRule="auto"/>
        <w:rPr>
          <w:rFonts w:ascii="Avenir" w:eastAsia="Calibri" w:hAnsi="Avenir" w:cstheme="minorHAnsi"/>
          <w:bCs/>
        </w:rPr>
      </w:pPr>
      <w:r w:rsidRPr="000666BF">
        <w:rPr>
          <w:rFonts w:ascii="Avenir" w:eastAsia="Calibri" w:hAnsi="Avenir" w:cstheme="minorHAnsi"/>
        </w:rPr>
        <w:t xml:space="preserve">The 2011 Medicaid Redesign Team (MRT) was established by Governor Andrew Cuomo to “bend” the Department of Health Medicaid cost curve.  The Office for People </w:t>
      </w:r>
      <w:proofErr w:type="gramStart"/>
      <w:r w:rsidRPr="000666BF">
        <w:rPr>
          <w:rFonts w:ascii="Avenir" w:eastAsia="Calibri" w:hAnsi="Avenir" w:cstheme="minorHAnsi"/>
        </w:rPr>
        <w:t>With</w:t>
      </w:r>
      <w:proofErr w:type="gramEnd"/>
      <w:r w:rsidRPr="000666BF">
        <w:rPr>
          <w:rFonts w:ascii="Avenir" w:eastAsia="Calibri" w:hAnsi="Avenir" w:cstheme="minorHAnsi"/>
        </w:rPr>
        <w:t xml:space="preserve"> Developmental Disabilities’ (OPWDD) supports and services were not supposed to be included in the 2011 MRT discussion or cuts.  However, MRT #26 cut </w:t>
      </w:r>
      <w:r w:rsidRPr="000666BF">
        <w:rPr>
          <w:rFonts w:ascii="Avenir" w:eastAsia="Calibri" w:hAnsi="Avenir" w:cstheme="minorHAnsi"/>
          <w:bCs/>
        </w:rPr>
        <w:t xml:space="preserve">Article 16 clinics’ overall payments for those </w:t>
      </w:r>
      <w:r w:rsidR="00661AED">
        <w:rPr>
          <w:rFonts w:ascii="Avenir" w:eastAsia="Calibri" w:hAnsi="Avenir" w:cstheme="minorHAnsi"/>
          <w:bCs/>
        </w:rPr>
        <w:t xml:space="preserve">utilizing a </w:t>
      </w:r>
      <w:r w:rsidRPr="000666BF">
        <w:rPr>
          <w:rFonts w:ascii="Avenir" w:eastAsia="Calibri" w:hAnsi="Avenir" w:cstheme="minorHAnsi"/>
          <w:bCs/>
        </w:rPr>
        <w:t xml:space="preserve">higher number of visits per patient in comparison to their peers.  Individuals with severe physical disabilities require more frequent and intensive therapy services, and by implementing a cut based on the average number of services provided per month, DOH is discriminating against individuals with the most complex disabilities.  </w:t>
      </w:r>
    </w:p>
    <w:p w14:paraId="0D68CC35" w14:textId="77777777" w:rsidR="00F8425E" w:rsidRPr="000666BF" w:rsidRDefault="00F8425E" w:rsidP="00663047">
      <w:pPr>
        <w:spacing w:after="0" w:line="240" w:lineRule="auto"/>
        <w:rPr>
          <w:rFonts w:ascii="Avenir" w:hAnsi="Avenir" w:cstheme="minorHAnsi"/>
        </w:rPr>
      </w:pPr>
    </w:p>
    <w:p w14:paraId="794DD093" w14:textId="484788A5" w:rsidR="00663047" w:rsidRPr="00D34FB3" w:rsidRDefault="00661AED" w:rsidP="00D34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venir" w:eastAsia="Calibri" w:hAnsi="Avenir" w:cstheme="minorHAnsi"/>
        </w:rPr>
      </w:pPr>
      <w:r>
        <w:rPr>
          <w:rFonts w:ascii="Avenir" w:eastAsia="Calibri" w:hAnsi="Avenir" w:cstheme="minorHAnsi"/>
          <w:bCs/>
        </w:rPr>
        <w:t xml:space="preserve">This year </w:t>
      </w:r>
      <w:r w:rsidR="00663047" w:rsidRPr="000666BF">
        <w:rPr>
          <w:rFonts w:ascii="Avenir" w:eastAsia="Calibri" w:hAnsi="Avenir" w:cstheme="minorHAnsi"/>
          <w:bCs/>
        </w:rPr>
        <w:t xml:space="preserve">the 2023 Executive Budget Health and Mental Hygiene Article VII/S.8007/A.9007 Part W repeals utilization thresholds that have been in place for </w:t>
      </w:r>
      <w:r w:rsidR="00663047">
        <w:rPr>
          <w:rFonts w:ascii="Avenir" w:eastAsia="Calibri" w:hAnsi="Avenir" w:cstheme="minorHAnsi"/>
          <w:bCs/>
        </w:rPr>
        <w:t xml:space="preserve">other </w:t>
      </w:r>
      <w:r w:rsidR="00663047" w:rsidRPr="000666BF">
        <w:rPr>
          <w:rFonts w:ascii="Avenir" w:eastAsia="Calibri" w:hAnsi="Avenir" w:cstheme="minorHAnsi"/>
          <w:bCs/>
        </w:rPr>
        <w:t>Medicaid recipients</w:t>
      </w:r>
      <w:r>
        <w:rPr>
          <w:rFonts w:ascii="Avenir" w:eastAsia="Calibri" w:hAnsi="Avenir" w:cstheme="minorHAnsi"/>
          <w:bCs/>
        </w:rPr>
        <w:t xml:space="preserve"> but not individuals with severe physical disabilities </w:t>
      </w:r>
    </w:p>
    <w:p w14:paraId="39478F83" w14:textId="77777777" w:rsidR="00663047" w:rsidRPr="000666BF" w:rsidRDefault="00663047" w:rsidP="00663047">
      <w:pPr>
        <w:spacing w:after="0" w:line="240" w:lineRule="auto"/>
        <w:ind w:firstLine="720"/>
        <w:rPr>
          <w:rFonts w:ascii="Avenir" w:eastAsia="Calibri" w:hAnsi="Avenir" w:cstheme="minorHAnsi"/>
          <w:b/>
          <w:color w:val="538135" w:themeColor="accent6" w:themeShade="BF"/>
        </w:rPr>
      </w:pPr>
      <w:r w:rsidRPr="000666BF">
        <w:rPr>
          <w:rFonts w:ascii="Avenir" w:eastAsia="Calibri" w:hAnsi="Avenir" w:cstheme="minorHAnsi"/>
          <w:b/>
          <w:color w:val="538135" w:themeColor="accent6" w:themeShade="BF"/>
        </w:rPr>
        <w:t>RECOMMENDATION:</w:t>
      </w:r>
    </w:p>
    <w:p w14:paraId="09597507" w14:textId="77777777" w:rsidR="00663047" w:rsidRPr="00443673" w:rsidRDefault="00663047" w:rsidP="00663047">
      <w:pPr>
        <w:pStyle w:val="ListParagraph"/>
        <w:numPr>
          <w:ilvl w:val="1"/>
          <w:numId w:val="6"/>
        </w:numPr>
        <w:spacing w:after="0" w:line="240" w:lineRule="auto"/>
        <w:rPr>
          <w:rFonts w:ascii="Avenir" w:eastAsia="Calibri" w:hAnsi="Avenir" w:cstheme="minorHAnsi"/>
          <w:b/>
        </w:rPr>
      </w:pPr>
      <w:r w:rsidRPr="00443673">
        <w:rPr>
          <w:rFonts w:ascii="Avenir" w:eastAsia="Calibri" w:hAnsi="Avenir" w:cstheme="minorHAnsi"/>
          <w:b/>
        </w:rPr>
        <w:t>Repeal MRT 26/</w:t>
      </w:r>
      <w:r w:rsidRPr="00443673">
        <w:rPr>
          <w:rFonts w:ascii="Avenir" w:hAnsi="Avenir" w:cstheme="minorHAnsi"/>
          <w:b/>
        </w:rPr>
        <w:t xml:space="preserve"> Part H of chapter 59 of the laws of 2011</w:t>
      </w:r>
    </w:p>
    <w:p w14:paraId="25D9DD9F" w14:textId="77777777" w:rsidR="00663047" w:rsidRPr="000666BF" w:rsidRDefault="00663047" w:rsidP="00663047">
      <w:pPr>
        <w:spacing w:after="0" w:line="240" w:lineRule="auto"/>
        <w:rPr>
          <w:rFonts w:ascii="Avenir" w:eastAsia="Calibri" w:hAnsi="Avenir" w:cstheme="minorHAnsi"/>
          <w:bCs/>
        </w:rPr>
      </w:pPr>
    </w:p>
    <w:p w14:paraId="3217E598" w14:textId="77777777" w:rsidR="00663047" w:rsidRPr="000666BF" w:rsidRDefault="00663047" w:rsidP="00663047">
      <w:pPr>
        <w:spacing w:after="0" w:line="240" w:lineRule="auto"/>
        <w:jc w:val="both"/>
        <w:rPr>
          <w:rFonts w:ascii="Avenir" w:eastAsia="Times New Roman" w:hAnsi="Avenir" w:cstheme="minorHAnsi"/>
          <w:b/>
          <w:bCs/>
          <w:color w:val="2F5496" w:themeColor="accent5" w:themeShade="BF"/>
        </w:rPr>
      </w:pPr>
      <w:r w:rsidRPr="000666BF">
        <w:rPr>
          <w:rFonts w:ascii="Avenir" w:eastAsia="Times New Roman" w:hAnsi="Avenir" w:cstheme="minorHAnsi"/>
          <w:b/>
          <w:bCs/>
          <w:color w:val="538135" w:themeColor="accent6" w:themeShade="BF"/>
          <w:sz w:val="24"/>
          <w:szCs w:val="24"/>
        </w:rPr>
        <w:t xml:space="preserve">EARLY INTERVENTION </w:t>
      </w:r>
    </w:p>
    <w:p w14:paraId="122AF89C" w14:textId="2B4D3023" w:rsidR="00663047" w:rsidRPr="000666BF" w:rsidRDefault="00663047" w:rsidP="00663047">
      <w:pPr>
        <w:spacing w:after="0" w:line="240" w:lineRule="auto"/>
        <w:jc w:val="both"/>
        <w:rPr>
          <w:rFonts w:ascii="Avenir" w:eastAsia="Times New Roman" w:hAnsi="Avenir" w:cstheme="minorHAnsi"/>
        </w:rPr>
      </w:pPr>
      <w:r w:rsidRPr="000666BF">
        <w:rPr>
          <w:rFonts w:ascii="Avenir" w:eastAsia="Times New Roman" w:hAnsi="Avenir" w:cstheme="minorHAnsi"/>
        </w:rPr>
        <w:t xml:space="preserve">The Early Intervention (EI) program, authorized under Part C of the federal Individuals with Disabilities Education Act (IDEA), provides critical services for children with disabilities and developmental delays from birth to three years of age, and their families. </w:t>
      </w:r>
    </w:p>
    <w:p w14:paraId="6673B1AE" w14:textId="77777777" w:rsidR="00663047" w:rsidRPr="000666BF" w:rsidRDefault="00663047" w:rsidP="00663047">
      <w:pPr>
        <w:spacing w:after="0" w:line="240" w:lineRule="auto"/>
        <w:jc w:val="both"/>
        <w:rPr>
          <w:rFonts w:ascii="Avenir" w:eastAsia="Times New Roman" w:hAnsi="Avenir" w:cstheme="minorHAnsi"/>
        </w:rPr>
      </w:pPr>
    </w:p>
    <w:p w14:paraId="7F744A75" w14:textId="77777777" w:rsidR="00663047" w:rsidRPr="000666BF" w:rsidRDefault="00663047" w:rsidP="00663047">
      <w:pPr>
        <w:spacing w:after="0" w:line="240" w:lineRule="auto"/>
        <w:ind w:firstLine="410"/>
        <w:rPr>
          <w:rFonts w:ascii="Avenir" w:hAnsi="Avenir" w:cstheme="minorHAnsi"/>
          <w:b/>
          <w:bCs/>
          <w:iCs/>
        </w:rPr>
      </w:pPr>
      <w:r>
        <w:rPr>
          <w:rFonts w:ascii="Avenir" w:hAnsi="Avenir" w:cstheme="minorHAnsi"/>
          <w:b/>
          <w:bCs/>
          <w:iCs/>
          <w:color w:val="538135" w:themeColor="accent6" w:themeShade="BF"/>
        </w:rPr>
        <w:t>RECOMMENDATIONS</w:t>
      </w:r>
      <w:r w:rsidRPr="000666BF">
        <w:rPr>
          <w:rFonts w:ascii="Avenir" w:hAnsi="Avenir" w:cstheme="minorHAnsi"/>
          <w:b/>
          <w:bCs/>
          <w:iCs/>
          <w:color w:val="538135" w:themeColor="accent6" w:themeShade="BF"/>
        </w:rPr>
        <w:t xml:space="preserve">: </w:t>
      </w:r>
    </w:p>
    <w:p w14:paraId="2B595A13" w14:textId="77777777" w:rsidR="00663047" w:rsidRPr="00443673" w:rsidRDefault="00663047" w:rsidP="00663047">
      <w:pPr>
        <w:pStyle w:val="ListParagraph"/>
        <w:numPr>
          <w:ilvl w:val="0"/>
          <w:numId w:val="40"/>
        </w:numPr>
        <w:spacing w:after="0" w:line="240" w:lineRule="auto"/>
        <w:rPr>
          <w:rFonts w:ascii="Avenir" w:hAnsi="Avenir" w:cstheme="minorHAnsi"/>
          <w:b/>
          <w:bCs/>
          <w:iCs/>
        </w:rPr>
      </w:pPr>
      <w:r w:rsidRPr="00443673">
        <w:rPr>
          <w:rFonts w:ascii="Avenir" w:hAnsi="Avenir" w:cstheme="minorHAnsi"/>
          <w:b/>
          <w:bCs/>
        </w:rPr>
        <w:t>Provide an 11% Increase to EI reimbursement rates.</w:t>
      </w:r>
    </w:p>
    <w:p w14:paraId="20831288" w14:textId="72B0D1B6" w:rsidR="00663047" w:rsidRPr="0037211A" w:rsidRDefault="00663047" w:rsidP="009E2707">
      <w:pPr>
        <w:pStyle w:val="ListParagraph"/>
        <w:numPr>
          <w:ilvl w:val="0"/>
          <w:numId w:val="40"/>
        </w:numPr>
        <w:spacing w:after="0" w:line="240" w:lineRule="auto"/>
        <w:rPr>
          <w:rFonts w:ascii="Avenir" w:hAnsi="Avenir" w:cstheme="minorHAnsi"/>
          <w:b/>
          <w:bCs/>
          <w:iCs/>
        </w:rPr>
      </w:pPr>
      <w:r w:rsidRPr="00443673">
        <w:rPr>
          <w:rFonts w:ascii="Avenir" w:hAnsi="Avenir" w:cstheme="minorHAnsi"/>
          <w:b/>
          <w:bCs/>
        </w:rPr>
        <w:t xml:space="preserve">Include a requirement for a comprehensive assessment of the methodology used to determine payment for all EI evaluations, services and service coordination (S.5676/A.6579) </w:t>
      </w:r>
    </w:p>
    <w:sectPr w:rsidR="00663047" w:rsidRPr="0037211A" w:rsidSect="00EC3AE3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5B05" w14:textId="77777777" w:rsidR="00543A92" w:rsidRDefault="00543A92" w:rsidP="00581490">
      <w:pPr>
        <w:spacing w:after="0" w:line="240" w:lineRule="auto"/>
      </w:pPr>
      <w:r>
        <w:separator/>
      </w:r>
    </w:p>
  </w:endnote>
  <w:endnote w:type="continuationSeparator" w:id="0">
    <w:p w14:paraId="44B6FB53" w14:textId="77777777" w:rsidR="00543A92" w:rsidRDefault="00543A92" w:rsidP="0058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curyTextG3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975196"/>
      <w:docPartObj>
        <w:docPartGallery w:val="Page Numbers (Bottom of Page)"/>
        <w:docPartUnique/>
      </w:docPartObj>
    </w:sdtPr>
    <w:sdtEndPr>
      <w:rPr>
        <w:rFonts w:ascii="Avenir Next LT Pro" w:hAnsi="Avenir Next LT Pro"/>
        <w:noProof/>
        <w:sz w:val="16"/>
        <w:szCs w:val="16"/>
      </w:rPr>
    </w:sdtEndPr>
    <w:sdtContent>
      <w:p w14:paraId="7A259381" w14:textId="77777777" w:rsidR="00FF0C8F" w:rsidRPr="00581490" w:rsidRDefault="00FF0C8F">
        <w:pPr>
          <w:pStyle w:val="Footer"/>
          <w:jc w:val="right"/>
          <w:rPr>
            <w:rFonts w:ascii="Avenir Next LT Pro" w:hAnsi="Avenir Next LT Pro"/>
            <w:sz w:val="16"/>
            <w:szCs w:val="16"/>
          </w:rPr>
        </w:pPr>
        <w:r w:rsidRPr="00581490">
          <w:rPr>
            <w:rFonts w:ascii="Avenir Next LT Pro" w:hAnsi="Avenir Next LT Pro"/>
            <w:sz w:val="16"/>
            <w:szCs w:val="16"/>
          </w:rPr>
          <w:fldChar w:fldCharType="begin"/>
        </w:r>
        <w:r w:rsidRPr="00581490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Pr="00581490">
          <w:rPr>
            <w:rFonts w:ascii="Avenir Next LT Pro" w:hAnsi="Avenir Next LT Pro"/>
            <w:sz w:val="16"/>
            <w:szCs w:val="16"/>
          </w:rPr>
          <w:fldChar w:fldCharType="separate"/>
        </w:r>
        <w:r w:rsidR="00BC1E45">
          <w:rPr>
            <w:rFonts w:ascii="Avenir Next LT Pro" w:hAnsi="Avenir Next LT Pro"/>
            <w:noProof/>
            <w:sz w:val="16"/>
            <w:szCs w:val="16"/>
          </w:rPr>
          <w:t>1</w:t>
        </w:r>
        <w:r w:rsidRPr="00581490">
          <w:rPr>
            <w:rFonts w:ascii="Avenir Next LT Pro" w:hAnsi="Avenir Next LT Pro"/>
            <w:noProof/>
            <w:sz w:val="16"/>
            <w:szCs w:val="16"/>
          </w:rPr>
          <w:fldChar w:fldCharType="end"/>
        </w:r>
      </w:p>
    </w:sdtContent>
  </w:sdt>
  <w:p w14:paraId="0E98B0AE" w14:textId="77777777" w:rsidR="00FF0C8F" w:rsidRDefault="00FF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0506" w14:textId="77777777" w:rsidR="00543A92" w:rsidRDefault="00543A92" w:rsidP="00581490">
      <w:pPr>
        <w:spacing w:after="0" w:line="240" w:lineRule="auto"/>
      </w:pPr>
      <w:r>
        <w:separator/>
      </w:r>
    </w:p>
  </w:footnote>
  <w:footnote w:type="continuationSeparator" w:id="0">
    <w:p w14:paraId="5EC6D2B8" w14:textId="77777777" w:rsidR="00543A92" w:rsidRDefault="00543A92" w:rsidP="0058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2DE"/>
    <w:multiLevelType w:val="hybridMultilevel"/>
    <w:tmpl w:val="358E132E"/>
    <w:lvl w:ilvl="0" w:tplc="92C6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442B"/>
    <w:multiLevelType w:val="hybridMultilevel"/>
    <w:tmpl w:val="9BB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0A5"/>
    <w:multiLevelType w:val="hybridMultilevel"/>
    <w:tmpl w:val="1AE2949C"/>
    <w:lvl w:ilvl="0" w:tplc="8424E9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C0E8A"/>
    <w:multiLevelType w:val="hybridMultilevel"/>
    <w:tmpl w:val="D73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6707"/>
    <w:multiLevelType w:val="hybridMultilevel"/>
    <w:tmpl w:val="84AC3784"/>
    <w:lvl w:ilvl="0" w:tplc="4BB243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DB9"/>
    <w:multiLevelType w:val="hybridMultilevel"/>
    <w:tmpl w:val="AE821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70F8A"/>
    <w:multiLevelType w:val="hybridMultilevel"/>
    <w:tmpl w:val="AC1E6590"/>
    <w:lvl w:ilvl="0" w:tplc="CCEAB258">
      <w:start w:val="1"/>
      <w:numFmt w:val="bullet"/>
      <w:lvlText w:val="•"/>
      <w:lvlJc w:val="left"/>
      <w:pPr>
        <w:ind w:left="3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843B64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16313A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44271A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04F5F2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9AABEC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3CE24A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ECA560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08F66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94273"/>
    <w:multiLevelType w:val="hybridMultilevel"/>
    <w:tmpl w:val="DC903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F3B20"/>
    <w:multiLevelType w:val="hybridMultilevel"/>
    <w:tmpl w:val="EDE285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272626"/>
    <w:multiLevelType w:val="hybridMultilevel"/>
    <w:tmpl w:val="8F866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C650A"/>
    <w:multiLevelType w:val="hybridMultilevel"/>
    <w:tmpl w:val="E3306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4343B"/>
    <w:multiLevelType w:val="hybridMultilevel"/>
    <w:tmpl w:val="26F4EB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6EF5D88"/>
    <w:multiLevelType w:val="hybridMultilevel"/>
    <w:tmpl w:val="D0167F24"/>
    <w:lvl w:ilvl="0" w:tplc="26C8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458"/>
    <w:multiLevelType w:val="hybridMultilevel"/>
    <w:tmpl w:val="EB7ED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93298"/>
    <w:multiLevelType w:val="hybridMultilevel"/>
    <w:tmpl w:val="8258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21E7"/>
    <w:multiLevelType w:val="hybridMultilevel"/>
    <w:tmpl w:val="98E87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0449C"/>
    <w:multiLevelType w:val="hybridMultilevel"/>
    <w:tmpl w:val="A94C6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82BEB"/>
    <w:multiLevelType w:val="hybridMultilevel"/>
    <w:tmpl w:val="1932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6BD6"/>
    <w:multiLevelType w:val="hybridMultilevel"/>
    <w:tmpl w:val="96B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D316F"/>
    <w:multiLevelType w:val="hybridMultilevel"/>
    <w:tmpl w:val="7F08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14389"/>
    <w:multiLevelType w:val="hybridMultilevel"/>
    <w:tmpl w:val="10445804"/>
    <w:lvl w:ilvl="0" w:tplc="92C6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C122C"/>
    <w:multiLevelType w:val="hybridMultilevel"/>
    <w:tmpl w:val="CE8E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3787B"/>
    <w:multiLevelType w:val="hybridMultilevel"/>
    <w:tmpl w:val="77B829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AB26CF3"/>
    <w:multiLevelType w:val="hybridMultilevel"/>
    <w:tmpl w:val="D2627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32FE9"/>
    <w:multiLevelType w:val="multilevel"/>
    <w:tmpl w:val="391AE61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5A1EA4"/>
    <w:multiLevelType w:val="hybridMultilevel"/>
    <w:tmpl w:val="54D84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614C2B"/>
    <w:multiLevelType w:val="hybridMultilevel"/>
    <w:tmpl w:val="6954342A"/>
    <w:lvl w:ilvl="0" w:tplc="76EE2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D7EC8"/>
    <w:multiLevelType w:val="hybridMultilevel"/>
    <w:tmpl w:val="0AE6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D3427"/>
    <w:multiLevelType w:val="hybridMultilevel"/>
    <w:tmpl w:val="63DEA222"/>
    <w:lvl w:ilvl="0" w:tplc="A5982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E5D0E"/>
    <w:multiLevelType w:val="hybridMultilevel"/>
    <w:tmpl w:val="39365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90798"/>
    <w:multiLevelType w:val="hybridMultilevel"/>
    <w:tmpl w:val="E16C81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9947929"/>
    <w:multiLevelType w:val="hybridMultilevel"/>
    <w:tmpl w:val="EFE2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34C5C"/>
    <w:multiLevelType w:val="hybridMultilevel"/>
    <w:tmpl w:val="AA2E3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E22F42"/>
    <w:multiLevelType w:val="hybridMultilevel"/>
    <w:tmpl w:val="8024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702A"/>
    <w:multiLevelType w:val="multilevel"/>
    <w:tmpl w:val="8D08E98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5" w15:restartNumberingAfterBreak="0">
    <w:nsid w:val="58D07BD1"/>
    <w:multiLevelType w:val="hybridMultilevel"/>
    <w:tmpl w:val="1EDA0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C03EB"/>
    <w:multiLevelType w:val="hybridMultilevel"/>
    <w:tmpl w:val="5B60C7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3C6D94"/>
    <w:multiLevelType w:val="multilevel"/>
    <w:tmpl w:val="11960F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8" w15:restartNumberingAfterBreak="0">
    <w:nsid w:val="62D84F50"/>
    <w:multiLevelType w:val="hybridMultilevel"/>
    <w:tmpl w:val="DDE2A55A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9" w15:restartNumberingAfterBreak="0">
    <w:nsid w:val="65443F4A"/>
    <w:multiLevelType w:val="multilevel"/>
    <w:tmpl w:val="7478BD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70D285D"/>
    <w:multiLevelType w:val="hybridMultilevel"/>
    <w:tmpl w:val="87C03E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7A0EE1"/>
    <w:multiLevelType w:val="hybridMultilevel"/>
    <w:tmpl w:val="168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B05F2"/>
    <w:multiLevelType w:val="hybridMultilevel"/>
    <w:tmpl w:val="846CCA7A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7C191C43"/>
    <w:multiLevelType w:val="hybridMultilevel"/>
    <w:tmpl w:val="EB58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0D3942"/>
    <w:multiLevelType w:val="hybridMultilevel"/>
    <w:tmpl w:val="D02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82CBB"/>
    <w:multiLevelType w:val="hybridMultilevel"/>
    <w:tmpl w:val="16201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23"/>
  </w:num>
  <w:num w:numId="8">
    <w:abstractNumId w:val="5"/>
  </w:num>
  <w:num w:numId="9">
    <w:abstractNumId w:val="17"/>
  </w:num>
  <w:num w:numId="10">
    <w:abstractNumId w:val="18"/>
  </w:num>
  <w:num w:numId="11">
    <w:abstractNumId w:val="41"/>
  </w:num>
  <w:num w:numId="12">
    <w:abstractNumId w:val="22"/>
  </w:num>
  <w:num w:numId="13">
    <w:abstractNumId w:val="21"/>
  </w:num>
  <w:num w:numId="14">
    <w:abstractNumId w:val="12"/>
  </w:num>
  <w:num w:numId="15">
    <w:abstractNumId w:val="11"/>
  </w:num>
  <w:num w:numId="16">
    <w:abstractNumId w:val="0"/>
  </w:num>
  <w:num w:numId="17">
    <w:abstractNumId w:val="3"/>
  </w:num>
  <w:num w:numId="18">
    <w:abstractNumId w:val="26"/>
  </w:num>
  <w:num w:numId="19">
    <w:abstractNumId w:val="35"/>
  </w:num>
  <w:num w:numId="20">
    <w:abstractNumId w:val="13"/>
  </w:num>
  <w:num w:numId="21">
    <w:abstractNumId w:val="43"/>
  </w:num>
  <w:num w:numId="22">
    <w:abstractNumId w:val="20"/>
  </w:num>
  <w:num w:numId="23">
    <w:abstractNumId w:val="32"/>
  </w:num>
  <w:num w:numId="24">
    <w:abstractNumId w:val="28"/>
  </w:num>
  <w:num w:numId="25">
    <w:abstractNumId w:val="14"/>
  </w:num>
  <w:num w:numId="26">
    <w:abstractNumId w:val="39"/>
  </w:num>
  <w:num w:numId="27">
    <w:abstractNumId w:val="4"/>
  </w:num>
  <w:num w:numId="28">
    <w:abstractNumId w:val="1"/>
  </w:num>
  <w:num w:numId="29">
    <w:abstractNumId w:val="30"/>
  </w:num>
  <w:num w:numId="30">
    <w:abstractNumId w:val="16"/>
  </w:num>
  <w:num w:numId="31">
    <w:abstractNumId w:val="6"/>
  </w:num>
  <w:num w:numId="32">
    <w:abstractNumId w:val="42"/>
  </w:num>
  <w:num w:numId="33">
    <w:abstractNumId w:val="45"/>
  </w:num>
  <w:num w:numId="34">
    <w:abstractNumId w:val="8"/>
  </w:num>
  <w:num w:numId="35">
    <w:abstractNumId w:val="31"/>
  </w:num>
  <w:num w:numId="36">
    <w:abstractNumId w:val="33"/>
  </w:num>
  <w:num w:numId="37">
    <w:abstractNumId w:val="7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  <w:num w:numId="42">
    <w:abstractNumId w:val="9"/>
  </w:num>
  <w:num w:numId="43">
    <w:abstractNumId w:val="25"/>
  </w:num>
  <w:num w:numId="44">
    <w:abstractNumId w:val="10"/>
  </w:num>
  <w:num w:numId="45">
    <w:abstractNumId w:val="44"/>
  </w:num>
  <w:num w:numId="46">
    <w:abstractNumId w:val="2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A5"/>
    <w:rsid w:val="00005305"/>
    <w:rsid w:val="00020FAA"/>
    <w:rsid w:val="000255BB"/>
    <w:rsid w:val="00026E85"/>
    <w:rsid w:val="000347CE"/>
    <w:rsid w:val="000363EE"/>
    <w:rsid w:val="0004349A"/>
    <w:rsid w:val="0004663E"/>
    <w:rsid w:val="00063092"/>
    <w:rsid w:val="00063D6F"/>
    <w:rsid w:val="000666BF"/>
    <w:rsid w:val="00074281"/>
    <w:rsid w:val="00080418"/>
    <w:rsid w:val="00081CB4"/>
    <w:rsid w:val="00085BEF"/>
    <w:rsid w:val="00096022"/>
    <w:rsid w:val="000A2A1C"/>
    <w:rsid w:val="000A4078"/>
    <w:rsid w:val="000A4193"/>
    <w:rsid w:val="000A538B"/>
    <w:rsid w:val="000B14A3"/>
    <w:rsid w:val="000B24A7"/>
    <w:rsid w:val="000B6045"/>
    <w:rsid w:val="000C167C"/>
    <w:rsid w:val="000C175B"/>
    <w:rsid w:val="000D6E43"/>
    <w:rsid w:val="000E23C8"/>
    <w:rsid w:val="0011411F"/>
    <w:rsid w:val="00161DC9"/>
    <w:rsid w:val="00165B3C"/>
    <w:rsid w:val="0018392E"/>
    <w:rsid w:val="001A3DE3"/>
    <w:rsid w:val="001B107E"/>
    <w:rsid w:val="001B3F9F"/>
    <w:rsid w:val="001B46B1"/>
    <w:rsid w:val="001B6919"/>
    <w:rsid w:val="001C18EB"/>
    <w:rsid w:val="001C1E2F"/>
    <w:rsid w:val="001C6D45"/>
    <w:rsid w:val="001D31B7"/>
    <w:rsid w:val="001D47BF"/>
    <w:rsid w:val="001D6D93"/>
    <w:rsid w:val="001E3C2B"/>
    <w:rsid w:val="001F00C1"/>
    <w:rsid w:val="001F2D11"/>
    <w:rsid w:val="00247E13"/>
    <w:rsid w:val="0025063F"/>
    <w:rsid w:val="002525D1"/>
    <w:rsid w:val="00252C16"/>
    <w:rsid w:val="002535BD"/>
    <w:rsid w:val="00260DE8"/>
    <w:rsid w:val="00260F23"/>
    <w:rsid w:val="00263D6F"/>
    <w:rsid w:val="00267F07"/>
    <w:rsid w:val="0027230F"/>
    <w:rsid w:val="00276A1D"/>
    <w:rsid w:val="002A2560"/>
    <w:rsid w:val="002A3FA5"/>
    <w:rsid w:val="002C0732"/>
    <w:rsid w:val="002C28AD"/>
    <w:rsid w:val="002C3D8A"/>
    <w:rsid w:val="002C4E41"/>
    <w:rsid w:val="002D7778"/>
    <w:rsid w:val="002E2E47"/>
    <w:rsid w:val="002E5C02"/>
    <w:rsid w:val="002F0C03"/>
    <w:rsid w:val="002F0EBC"/>
    <w:rsid w:val="002F0FCC"/>
    <w:rsid w:val="002F150D"/>
    <w:rsid w:val="003017F5"/>
    <w:rsid w:val="00313917"/>
    <w:rsid w:val="003216AD"/>
    <w:rsid w:val="003226B2"/>
    <w:rsid w:val="00334EBE"/>
    <w:rsid w:val="003359F7"/>
    <w:rsid w:val="00342061"/>
    <w:rsid w:val="003463F1"/>
    <w:rsid w:val="00352606"/>
    <w:rsid w:val="003559A0"/>
    <w:rsid w:val="00365753"/>
    <w:rsid w:val="0037211A"/>
    <w:rsid w:val="00372252"/>
    <w:rsid w:val="00382227"/>
    <w:rsid w:val="0039227C"/>
    <w:rsid w:val="0039426D"/>
    <w:rsid w:val="00396031"/>
    <w:rsid w:val="003B42ED"/>
    <w:rsid w:val="003C3C44"/>
    <w:rsid w:val="003C5649"/>
    <w:rsid w:val="003D3683"/>
    <w:rsid w:val="003E7782"/>
    <w:rsid w:val="003F3EB7"/>
    <w:rsid w:val="003F4F6C"/>
    <w:rsid w:val="003F6E94"/>
    <w:rsid w:val="00407A8C"/>
    <w:rsid w:val="004213BC"/>
    <w:rsid w:val="004313BA"/>
    <w:rsid w:val="00440200"/>
    <w:rsid w:val="00443673"/>
    <w:rsid w:val="00451AB5"/>
    <w:rsid w:val="00452F68"/>
    <w:rsid w:val="00470965"/>
    <w:rsid w:val="0048010B"/>
    <w:rsid w:val="004A20C6"/>
    <w:rsid w:val="004A5DF7"/>
    <w:rsid w:val="004B0849"/>
    <w:rsid w:val="004B6728"/>
    <w:rsid w:val="004B7DDB"/>
    <w:rsid w:val="004C494B"/>
    <w:rsid w:val="004D6140"/>
    <w:rsid w:val="004D76AA"/>
    <w:rsid w:val="004F149B"/>
    <w:rsid w:val="004F46FD"/>
    <w:rsid w:val="0050299A"/>
    <w:rsid w:val="00506A67"/>
    <w:rsid w:val="005143D8"/>
    <w:rsid w:val="00517625"/>
    <w:rsid w:val="00523C28"/>
    <w:rsid w:val="00543A92"/>
    <w:rsid w:val="005507FC"/>
    <w:rsid w:val="00551FD0"/>
    <w:rsid w:val="00555584"/>
    <w:rsid w:val="005600F0"/>
    <w:rsid w:val="00564170"/>
    <w:rsid w:val="00573AE0"/>
    <w:rsid w:val="00576534"/>
    <w:rsid w:val="00581490"/>
    <w:rsid w:val="00593C80"/>
    <w:rsid w:val="005C1110"/>
    <w:rsid w:val="005E442F"/>
    <w:rsid w:val="005E6614"/>
    <w:rsid w:val="005F6452"/>
    <w:rsid w:val="00603F30"/>
    <w:rsid w:val="006251E4"/>
    <w:rsid w:val="00636BBF"/>
    <w:rsid w:val="006554F5"/>
    <w:rsid w:val="0065780E"/>
    <w:rsid w:val="00661AED"/>
    <w:rsid w:val="00663047"/>
    <w:rsid w:val="0067132E"/>
    <w:rsid w:val="00677AF3"/>
    <w:rsid w:val="00682E1A"/>
    <w:rsid w:val="00692D7C"/>
    <w:rsid w:val="006B44B0"/>
    <w:rsid w:val="006B57BA"/>
    <w:rsid w:val="006D5DAE"/>
    <w:rsid w:val="006F2DB5"/>
    <w:rsid w:val="006F3005"/>
    <w:rsid w:val="00715243"/>
    <w:rsid w:val="00715BA7"/>
    <w:rsid w:val="00720559"/>
    <w:rsid w:val="007238D5"/>
    <w:rsid w:val="007407A0"/>
    <w:rsid w:val="00751496"/>
    <w:rsid w:val="00760F37"/>
    <w:rsid w:val="0076271B"/>
    <w:rsid w:val="00767A57"/>
    <w:rsid w:val="00775C11"/>
    <w:rsid w:val="00775E92"/>
    <w:rsid w:val="007828E1"/>
    <w:rsid w:val="007858C8"/>
    <w:rsid w:val="0079143E"/>
    <w:rsid w:val="00797BA7"/>
    <w:rsid w:val="007A3511"/>
    <w:rsid w:val="007A58B3"/>
    <w:rsid w:val="007B752E"/>
    <w:rsid w:val="007D4A5E"/>
    <w:rsid w:val="007F02E1"/>
    <w:rsid w:val="007F5B39"/>
    <w:rsid w:val="00805893"/>
    <w:rsid w:val="00806B7F"/>
    <w:rsid w:val="0082000A"/>
    <w:rsid w:val="00824A9C"/>
    <w:rsid w:val="008376ED"/>
    <w:rsid w:val="00842E58"/>
    <w:rsid w:val="0084762F"/>
    <w:rsid w:val="00852BDC"/>
    <w:rsid w:val="00852E46"/>
    <w:rsid w:val="008570F8"/>
    <w:rsid w:val="00857CCA"/>
    <w:rsid w:val="008630C5"/>
    <w:rsid w:val="00874F19"/>
    <w:rsid w:val="0089409C"/>
    <w:rsid w:val="0089604E"/>
    <w:rsid w:val="008A1D81"/>
    <w:rsid w:val="008B111F"/>
    <w:rsid w:val="008B34A3"/>
    <w:rsid w:val="008B79E4"/>
    <w:rsid w:val="008C07E6"/>
    <w:rsid w:val="008C473B"/>
    <w:rsid w:val="008D3CD7"/>
    <w:rsid w:val="008E2E6F"/>
    <w:rsid w:val="008F45C3"/>
    <w:rsid w:val="00901260"/>
    <w:rsid w:val="00902924"/>
    <w:rsid w:val="009057F1"/>
    <w:rsid w:val="00905C97"/>
    <w:rsid w:val="0091138F"/>
    <w:rsid w:val="00915187"/>
    <w:rsid w:val="00920084"/>
    <w:rsid w:val="009258A9"/>
    <w:rsid w:val="00926E8E"/>
    <w:rsid w:val="00931CB5"/>
    <w:rsid w:val="00935DF8"/>
    <w:rsid w:val="00937286"/>
    <w:rsid w:val="00966ADA"/>
    <w:rsid w:val="009E1353"/>
    <w:rsid w:val="009E2707"/>
    <w:rsid w:val="009E3C17"/>
    <w:rsid w:val="009E7990"/>
    <w:rsid w:val="009F1562"/>
    <w:rsid w:val="009F2CCF"/>
    <w:rsid w:val="00A013C9"/>
    <w:rsid w:val="00A13AC2"/>
    <w:rsid w:val="00A34298"/>
    <w:rsid w:val="00A34E44"/>
    <w:rsid w:val="00A5563F"/>
    <w:rsid w:val="00A620A5"/>
    <w:rsid w:val="00A63A09"/>
    <w:rsid w:val="00A660FF"/>
    <w:rsid w:val="00A75D5D"/>
    <w:rsid w:val="00A90D32"/>
    <w:rsid w:val="00A95EB0"/>
    <w:rsid w:val="00AA0729"/>
    <w:rsid w:val="00AB05B2"/>
    <w:rsid w:val="00AB1892"/>
    <w:rsid w:val="00AC1381"/>
    <w:rsid w:val="00AC322D"/>
    <w:rsid w:val="00AC6E4A"/>
    <w:rsid w:val="00AD17D3"/>
    <w:rsid w:val="00AD3041"/>
    <w:rsid w:val="00AD77BA"/>
    <w:rsid w:val="00AD77E2"/>
    <w:rsid w:val="00AE04C2"/>
    <w:rsid w:val="00B12428"/>
    <w:rsid w:val="00B175B9"/>
    <w:rsid w:val="00B23EC0"/>
    <w:rsid w:val="00B27FEE"/>
    <w:rsid w:val="00B54721"/>
    <w:rsid w:val="00B54B8A"/>
    <w:rsid w:val="00B60944"/>
    <w:rsid w:val="00B72198"/>
    <w:rsid w:val="00B76F54"/>
    <w:rsid w:val="00B8065E"/>
    <w:rsid w:val="00B8579B"/>
    <w:rsid w:val="00B93912"/>
    <w:rsid w:val="00B95A16"/>
    <w:rsid w:val="00B95F14"/>
    <w:rsid w:val="00BA0B68"/>
    <w:rsid w:val="00BA2362"/>
    <w:rsid w:val="00BA2572"/>
    <w:rsid w:val="00BA5CAE"/>
    <w:rsid w:val="00BC1E45"/>
    <w:rsid w:val="00BD66F9"/>
    <w:rsid w:val="00BD6BE0"/>
    <w:rsid w:val="00BD7D2F"/>
    <w:rsid w:val="00BE3390"/>
    <w:rsid w:val="00BE34C3"/>
    <w:rsid w:val="00BE4B16"/>
    <w:rsid w:val="00C07859"/>
    <w:rsid w:val="00C10A70"/>
    <w:rsid w:val="00C12246"/>
    <w:rsid w:val="00C27CD7"/>
    <w:rsid w:val="00C33F82"/>
    <w:rsid w:val="00C345DD"/>
    <w:rsid w:val="00C649E0"/>
    <w:rsid w:val="00C70F62"/>
    <w:rsid w:val="00C72B2D"/>
    <w:rsid w:val="00C91078"/>
    <w:rsid w:val="00CB2ED4"/>
    <w:rsid w:val="00CB6D6D"/>
    <w:rsid w:val="00CB71A2"/>
    <w:rsid w:val="00CC5218"/>
    <w:rsid w:val="00CC54A6"/>
    <w:rsid w:val="00CD4947"/>
    <w:rsid w:val="00CD7BAA"/>
    <w:rsid w:val="00CE52ED"/>
    <w:rsid w:val="00CF512C"/>
    <w:rsid w:val="00D01525"/>
    <w:rsid w:val="00D02F70"/>
    <w:rsid w:val="00D10A8D"/>
    <w:rsid w:val="00D140A9"/>
    <w:rsid w:val="00D149C1"/>
    <w:rsid w:val="00D15282"/>
    <w:rsid w:val="00D22032"/>
    <w:rsid w:val="00D24CEC"/>
    <w:rsid w:val="00D275CB"/>
    <w:rsid w:val="00D31B53"/>
    <w:rsid w:val="00D321CF"/>
    <w:rsid w:val="00D32BA9"/>
    <w:rsid w:val="00D34FB3"/>
    <w:rsid w:val="00D46B9A"/>
    <w:rsid w:val="00D62299"/>
    <w:rsid w:val="00D6338C"/>
    <w:rsid w:val="00D7430C"/>
    <w:rsid w:val="00D8099D"/>
    <w:rsid w:val="00D9388B"/>
    <w:rsid w:val="00D9407A"/>
    <w:rsid w:val="00DA00A5"/>
    <w:rsid w:val="00DB5711"/>
    <w:rsid w:val="00DD66AC"/>
    <w:rsid w:val="00DD7E5D"/>
    <w:rsid w:val="00DE1666"/>
    <w:rsid w:val="00E06852"/>
    <w:rsid w:val="00E31CDE"/>
    <w:rsid w:val="00E33D73"/>
    <w:rsid w:val="00E6739F"/>
    <w:rsid w:val="00E67E8E"/>
    <w:rsid w:val="00E71708"/>
    <w:rsid w:val="00E74A39"/>
    <w:rsid w:val="00E7719E"/>
    <w:rsid w:val="00E8523D"/>
    <w:rsid w:val="00E85EB4"/>
    <w:rsid w:val="00EA0573"/>
    <w:rsid w:val="00EB008C"/>
    <w:rsid w:val="00EC3453"/>
    <w:rsid w:val="00EC3AE3"/>
    <w:rsid w:val="00EC6AD9"/>
    <w:rsid w:val="00ED6C63"/>
    <w:rsid w:val="00EF0EAD"/>
    <w:rsid w:val="00EF277B"/>
    <w:rsid w:val="00EF5488"/>
    <w:rsid w:val="00F1297D"/>
    <w:rsid w:val="00F146B6"/>
    <w:rsid w:val="00F3401F"/>
    <w:rsid w:val="00F40C29"/>
    <w:rsid w:val="00F40EC7"/>
    <w:rsid w:val="00F447AC"/>
    <w:rsid w:val="00F5331D"/>
    <w:rsid w:val="00F57C90"/>
    <w:rsid w:val="00F62C84"/>
    <w:rsid w:val="00F66D05"/>
    <w:rsid w:val="00F677D3"/>
    <w:rsid w:val="00F71583"/>
    <w:rsid w:val="00F733B5"/>
    <w:rsid w:val="00F7631F"/>
    <w:rsid w:val="00F84100"/>
    <w:rsid w:val="00F8425E"/>
    <w:rsid w:val="00F8435D"/>
    <w:rsid w:val="00F850D8"/>
    <w:rsid w:val="00F866CC"/>
    <w:rsid w:val="00F92A23"/>
    <w:rsid w:val="00F97ACE"/>
    <w:rsid w:val="00F97C36"/>
    <w:rsid w:val="00FA0B06"/>
    <w:rsid w:val="00FA1799"/>
    <w:rsid w:val="00FA751A"/>
    <w:rsid w:val="00FB1B41"/>
    <w:rsid w:val="00FC58AC"/>
    <w:rsid w:val="00FE3A0B"/>
    <w:rsid w:val="00FE3E42"/>
    <w:rsid w:val="00FF0BE9"/>
    <w:rsid w:val="00FF0C8F"/>
    <w:rsid w:val="00FF1727"/>
    <w:rsid w:val="00FF4BF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1FB1"/>
  <w15:chartTrackingRefBased/>
  <w15:docId w15:val="{0F5E0AF3-83B7-47F0-8A02-671CD1B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40C29"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b/>
      <w:color w:val="42307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ED"/>
    <w:rPr>
      <w:color w:val="0563C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2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2ED"/>
    <w:rPr>
      <w:rFonts w:ascii="Calibri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6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47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rsid w:val="00BE33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0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90"/>
  </w:style>
  <w:style w:type="paragraph" w:styleId="Footer">
    <w:name w:val="footer"/>
    <w:basedOn w:val="Normal"/>
    <w:link w:val="FooterChar"/>
    <w:uiPriority w:val="99"/>
    <w:unhideWhenUsed/>
    <w:rsid w:val="0058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90"/>
  </w:style>
  <w:style w:type="paragraph" w:customStyle="1" w:styleId="Bullets">
    <w:name w:val="Bullets"/>
    <w:basedOn w:val="Normal"/>
    <w:qFormat/>
    <w:rsid w:val="00D140A9"/>
    <w:pPr>
      <w:numPr>
        <w:numId w:val="27"/>
      </w:numPr>
      <w:spacing w:before="60" w:after="120" w:line="312" w:lineRule="auto"/>
    </w:pPr>
    <w:rPr>
      <w:rFonts w:ascii="Georgia" w:eastAsia="MS Mincho" w:hAnsi="Georgia" w:cs="MercuryTextG3-Roman"/>
      <w:color w:val="5A564E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F40C29"/>
    <w:rPr>
      <w:rFonts w:ascii="Calibri" w:eastAsia="Calibri" w:hAnsi="Calibri" w:cs="Calibri"/>
      <w:b/>
      <w:color w:val="423078"/>
      <w:sz w:val="32"/>
    </w:rPr>
  </w:style>
  <w:style w:type="paragraph" w:styleId="Revision">
    <w:name w:val="Revision"/>
    <w:hidden/>
    <w:uiPriority w:val="99"/>
    <w:semiHidden/>
    <w:rsid w:val="000A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56FA-EFBA-41FB-BE17-9A56158C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 Schiff</dc:creator>
  <cp:keywords/>
  <dc:description/>
  <cp:lastModifiedBy>Dana Carotenuto</cp:lastModifiedBy>
  <cp:revision>2</cp:revision>
  <cp:lastPrinted>2022-02-11T12:37:00Z</cp:lastPrinted>
  <dcterms:created xsi:type="dcterms:W3CDTF">2022-02-28T14:05:00Z</dcterms:created>
  <dcterms:modified xsi:type="dcterms:W3CDTF">2022-02-28T14:05:00Z</dcterms:modified>
</cp:coreProperties>
</file>