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09CA" w14:textId="5BCD9182" w:rsidR="00F012F8" w:rsidRPr="009D7F9B" w:rsidRDefault="00F012F8">
      <w:pPr>
        <w:rPr>
          <w:rFonts w:ascii="Calibri" w:hAnsi="Calibri" w:cs="Calibri"/>
          <w:b/>
          <w:sz w:val="26"/>
          <w:szCs w:val="26"/>
        </w:rPr>
      </w:pPr>
      <w:r w:rsidRPr="009D7F9B">
        <w:rPr>
          <w:rFonts w:ascii="Calibri" w:hAnsi="Calibri" w:cs="Calibri"/>
          <w:b/>
          <w:sz w:val="26"/>
          <w:szCs w:val="26"/>
        </w:rPr>
        <w:t xml:space="preserve">Possible Innovations for the Transition to </w:t>
      </w:r>
      <w:r w:rsidR="00906D07" w:rsidRPr="009D7F9B">
        <w:rPr>
          <w:rFonts w:ascii="Calibri" w:hAnsi="Calibri" w:cs="Calibri"/>
          <w:b/>
          <w:sz w:val="26"/>
          <w:szCs w:val="26"/>
        </w:rPr>
        <w:t>Value-Driven Care</w:t>
      </w:r>
    </w:p>
    <w:p w14:paraId="71C47621" w14:textId="77777777" w:rsidR="00F012F8" w:rsidRPr="004068B0" w:rsidRDefault="00F012F8">
      <w:pPr>
        <w:rPr>
          <w:rFonts w:ascii="Calibri" w:hAnsi="Calibri" w:cs="Calibri"/>
          <w:b/>
          <w:sz w:val="23"/>
          <w:szCs w:val="23"/>
        </w:rPr>
      </w:pPr>
    </w:p>
    <w:p w14:paraId="495A0DCF" w14:textId="1345A971" w:rsidR="00164DC8" w:rsidRPr="006644D7" w:rsidRDefault="00002BD4">
      <w:pPr>
        <w:rPr>
          <w:rFonts w:ascii="Calibri" w:hAnsi="Calibri" w:cs="Calibri"/>
          <w:b/>
          <w:sz w:val="23"/>
          <w:szCs w:val="23"/>
        </w:rPr>
      </w:pPr>
      <w:r w:rsidRPr="006644D7">
        <w:rPr>
          <w:rFonts w:ascii="Calibri" w:hAnsi="Calibri" w:cs="Calibri"/>
          <w:b/>
          <w:sz w:val="23"/>
          <w:szCs w:val="23"/>
        </w:rPr>
        <w:t>Summary</w:t>
      </w:r>
    </w:p>
    <w:p w14:paraId="469E5275" w14:textId="77777777" w:rsidR="00363338" w:rsidRPr="006644D7" w:rsidRDefault="008D2824">
      <w:pPr>
        <w:rPr>
          <w:rFonts w:ascii="Calibri" w:hAnsi="Calibri" w:cs="Calibri"/>
          <w:sz w:val="23"/>
          <w:szCs w:val="23"/>
        </w:rPr>
      </w:pPr>
      <w:r w:rsidRPr="006644D7">
        <w:rPr>
          <w:rFonts w:ascii="Calibri" w:hAnsi="Calibri" w:cs="Calibri"/>
          <w:sz w:val="23"/>
          <w:szCs w:val="23"/>
        </w:rPr>
        <w:t xml:space="preserve">The Developmental Disabilities Service Alliance of Western New York (DDAWNY), in coordination with its Member Agencies, </w:t>
      </w:r>
      <w:r w:rsidR="00220A84" w:rsidRPr="006644D7">
        <w:rPr>
          <w:rFonts w:ascii="Calibri" w:hAnsi="Calibri" w:cs="Calibri"/>
          <w:sz w:val="23"/>
          <w:szCs w:val="23"/>
        </w:rPr>
        <w:t xml:space="preserve">wishes to develop </w:t>
      </w:r>
      <w:r w:rsidR="009B277B" w:rsidRPr="006644D7">
        <w:rPr>
          <w:rFonts w:ascii="Calibri" w:hAnsi="Calibri" w:cs="Calibri"/>
          <w:sz w:val="23"/>
          <w:szCs w:val="23"/>
        </w:rPr>
        <w:t xml:space="preserve">an </w:t>
      </w:r>
      <w:r w:rsidR="009B277B" w:rsidRPr="006644D7">
        <w:rPr>
          <w:rFonts w:ascii="Calibri" w:hAnsi="Calibri" w:cs="Calibri"/>
          <w:b/>
          <w:sz w:val="23"/>
          <w:szCs w:val="23"/>
        </w:rPr>
        <w:t>alternative</w:t>
      </w:r>
      <w:r w:rsidRPr="006644D7">
        <w:rPr>
          <w:rFonts w:ascii="Calibri" w:hAnsi="Calibri" w:cs="Calibri"/>
          <w:b/>
          <w:sz w:val="23"/>
          <w:szCs w:val="23"/>
        </w:rPr>
        <w:t xml:space="preserve"> payment demonstration project</w:t>
      </w:r>
      <w:r w:rsidRPr="006644D7">
        <w:rPr>
          <w:rFonts w:ascii="Calibri" w:hAnsi="Calibri" w:cs="Calibri"/>
          <w:sz w:val="23"/>
          <w:szCs w:val="23"/>
        </w:rPr>
        <w:t xml:space="preserve"> </w:t>
      </w:r>
      <w:r w:rsidR="00220A84" w:rsidRPr="006644D7">
        <w:rPr>
          <w:rFonts w:ascii="Calibri" w:hAnsi="Calibri" w:cs="Calibri"/>
          <w:sz w:val="23"/>
          <w:szCs w:val="23"/>
        </w:rPr>
        <w:t>in partnership with the</w:t>
      </w:r>
      <w:r w:rsidRPr="006644D7">
        <w:rPr>
          <w:rFonts w:ascii="Calibri" w:hAnsi="Calibri" w:cs="Calibri"/>
          <w:sz w:val="23"/>
          <w:szCs w:val="23"/>
        </w:rPr>
        <w:t xml:space="preserve"> New York State Office </w:t>
      </w:r>
      <w:r w:rsidR="000D37A5" w:rsidRPr="006644D7">
        <w:rPr>
          <w:rFonts w:ascii="Calibri" w:hAnsi="Calibri" w:cs="Calibri"/>
          <w:sz w:val="23"/>
          <w:szCs w:val="23"/>
        </w:rPr>
        <w:t>for People with Developmental Disabilities (OPWDD).</w:t>
      </w:r>
      <w:r w:rsidR="00C05D04" w:rsidRPr="006644D7">
        <w:rPr>
          <w:rFonts w:ascii="Calibri" w:hAnsi="Calibri" w:cs="Calibri"/>
          <w:sz w:val="23"/>
          <w:szCs w:val="23"/>
        </w:rPr>
        <w:t xml:space="preserve"> </w:t>
      </w:r>
      <w:r w:rsidR="00220A84" w:rsidRPr="006644D7">
        <w:rPr>
          <w:rFonts w:ascii="Calibri" w:hAnsi="Calibri" w:cs="Calibri"/>
          <w:sz w:val="23"/>
          <w:szCs w:val="23"/>
        </w:rPr>
        <w:t>A</w:t>
      </w:r>
      <w:r w:rsidR="00C05D04" w:rsidRPr="006644D7">
        <w:rPr>
          <w:rFonts w:ascii="Calibri" w:hAnsi="Calibri" w:cs="Calibri"/>
          <w:sz w:val="23"/>
          <w:szCs w:val="23"/>
        </w:rPr>
        <w:t xml:space="preserve"> demonstration</w:t>
      </w:r>
      <w:r w:rsidR="00220A84" w:rsidRPr="006644D7">
        <w:rPr>
          <w:rFonts w:ascii="Calibri" w:hAnsi="Calibri" w:cs="Calibri"/>
          <w:sz w:val="23"/>
          <w:szCs w:val="23"/>
        </w:rPr>
        <w:t xml:space="preserve"> </w:t>
      </w:r>
      <w:r w:rsidR="00C05D04" w:rsidRPr="006644D7">
        <w:rPr>
          <w:rFonts w:ascii="Calibri" w:hAnsi="Calibri" w:cs="Calibri"/>
          <w:sz w:val="23"/>
          <w:szCs w:val="23"/>
        </w:rPr>
        <w:t xml:space="preserve">would test multiple (1) </w:t>
      </w:r>
      <w:r w:rsidR="006C7541" w:rsidRPr="006644D7">
        <w:rPr>
          <w:rFonts w:ascii="Calibri" w:hAnsi="Calibri" w:cs="Calibri"/>
          <w:sz w:val="23"/>
          <w:szCs w:val="23"/>
        </w:rPr>
        <w:t>service</w:t>
      </w:r>
      <w:r w:rsidR="00C05D04" w:rsidRPr="006644D7">
        <w:rPr>
          <w:rFonts w:ascii="Calibri" w:hAnsi="Calibri" w:cs="Calibri"/>
          <w:sz w:val="23"/>
          <w:szCs w:val="23"/>
        </w:rPr>
        <w:t xml:space="preserve"> delivery, (2) administrative / regulatory, and (3) </w:t>
      </w:r>
      <w:r w:rsidR="00CD1E9B" w:rsidRPr="006644D7">
        <w:rPr>
          <w:rFonts w:ascii="Calibri" w:hAnsi="Calibri" w:cs="Calibri"/>
          <w:sz w:val="23"/>
          <w:szCs w:val="23"/>
        </w:rPr>
        <w:t xml:space="preserve">service </w:t>
      </w:r>
      <w:r w:rsidR="00C05D04" w:rsidRPr="006644D7">
        <w:rPr>
          <w:rFonts w:ascii="Calibri" w:hAnsi="Calibri" w:cs="Calibri"/>
          <w:sz w:val="23"/>
          <w:szCs w:val="23"/>
        </w:rPr>
        <w:t>payment innovations</w:t>
      </w:r>
      <w:r w:rsidR="00754716" w:rsidRPr="006644D7">
        <w:rPr>
          <w:rFonts w:ascii="Calibri" w:hAnsi="Calibri" w:cs="Calibri"/>
          <w:sz w:val="23"/>
          <w:szCs w:val="23"/>
        </w:rPr>
        <w:t xml:space="preserve"> during a </w:t>
      </w:r>
      <w:r w:rsidR="001E769C" w:rsidRPr="006644D7">
        <w:rPr>
          <w:rFonts w:ascii="Calibri" w:hAnsi="Calibri" w:cs="Calibri"/>
          <w:sz w:val="23"/>
          <w:szCs w:val="23"/>
        </w:rPr>
        <w:t>two</w:t>
      </w:r>
      <w:r w:rsidR="00754716" w:rsidRPr="006644D7">
        <w:rPr>
          <w:rFonts w:ascii="Calibri" w:hAnsi="Calibri" w:cs="Calibri"/>
          <w:sz w:val="23"/>
          <w:szCs w:val="23"/>
        </w:rPr>
        <w:t>-year period</w:t>
      </w:r>
      <w:r w:rsidR="00CD1E9B" w:rsidRPr="006644D7">
        <w:rPr>
          <w:rFonts w:ascii="Calibri" w:hAnsi="Calibri" w:cs="Calibri"/>
          <w:sz w:val="23"/>
          <w:szCs w:val="23"/>
        </w:rPr>
        <w:t xml:space="preserve">. </w:t>
      </w:r>
    </w:p>
    <w:p w14:paraId="7BD28EC4" w14:textId="77777777" w:rsidR="00363338" w:rsidRPr="006644D7" w:rsidRDefault="00363338">
      <w:pPr>
        <w:rPr>
          <w:rFonts w:ascii="Calibri" w:hAnsi="Calibri" w:cs="Calibri"/>
          <w:sz w:val="23"/>
          <w:szCs w:val="23"/>
        </w:rPr>
      </w:pPr>
    </w:p>
    <w:p w14:paraId="564F3C31" w14:textId="4CAE4CE3" w:rsidR="00AC0027" w:rsidRPr="006644D7" w:rsidRDefault="006C7541">
      <w:pPr>
        <w:rPr>
          <w:rFonts w:ascii="Calibri" w:hAnsi="Calibri" w:cs="Calibri"/>
          <w:sz w:val="23"/>
          <w:szCs w:val="23"/>
        </w:rPr>
      </w:pPr>
      <w:r w:rsidRPr="006644D7">
        <w:rPr>
          <w:rFonts w:ascii="Calibri" w:hAnsi="Calibri" w:cs="Calibri"/>
          <w:sz w:val="23"/>
          <w:szCs w:val="23"/>
        </w:rPr>
        <w:t>This document includes a</w:t>
      </w:r>
      <w:r w:rsidR="00363338" w:rsidRPr="006644D7">
        <w:rPr>
          <w:rFonts w:ascii="Calibri" w:hAnsi="Calibri" w:cs="Calibri"/>
          <w:sz w:val="23"/>
          <w:szCs w:val="23"/>
        </w:rPr>
        <w:t>n initial</w:t>
      </w:r>
      <w:r w:rsidRPr="006644D7">
        <w:rPr>
          <w:rFonts w:ascii="Calibri" w:hAnsi="Calibri" w:cs="Calibri"/>
          <w:sz w:val="23"/>
          <w:szCs w:val="23"/>
        </w:rPr>
        <w:t xml:space="preserve"> me</w:t>
      </w:r>
      <w:r w:rsidR="00363338" w:rsidRPr="006644D7">
        <w:rPr>
          <w:rFonts w:ascii="Calibri" w:hAnsi="Calibri" w:cs="Calibri"/>
          <w:sz w:val="23"/>
          <w:szCs w:val="23"/>
        </w:rPr>
        <w:t>nu of innovations and strategies. Some of these changes could occur quickly, while others would require a year or more to implement.</w:t>
      </w:r>
      <w:r w:rsidRPr="006644D7">
        <w:rPr>
          <w:rFonts w:ascii="Calibri" w:hAnsi="Calibri" w:cs="Calibri"/>
          <w:sz w:val="23"/>
          <w:szCs w:val="23"/>
        </w:rPr>
        <w:t xml:space="preserve"> </w:t>
      </w:r>
      <w:r w:rsidR="00363338" w:rsidRPr="006644D7">
        <w:rPr>
          <w:rFonts w:ascii="Calibri" w:hAnsi="Calibri" w:cs="Calibri"/>
          <w:sz w:val="23"/>
          <w:szCs w:val="23"/>
        </w:rPr>
        <w:t>Regardless of which innovations and strategies are chosen,</w:t>
      </w:r>
      <w:r w:rsidR="00002BD4" w:rsidRPr="006644D7">
        <w:rPr>
          <w:rFonts w:ascii="Calibri" w:hAnsi="Calibri" w:cs="Calibri"/>
          <w:sz w:val="23"/>
          <w:szCs w:val="23"/>
        </w:rPr>
        <w:t xml:space="preserve"> a </w:t>
      </w:r>
      <w:r w:rsidR="00363338" w:rsidRPr="006644D7">
        <w:rPr>
          <w:rFonts w:ascii="Calibri" w:hAnsi="Calibri" w:cs="Calibri"/>
          <w:sz w:val="23"/>
          <w:szCs w:val="23"/>
        </w:rPr>
        <w:t xml:space="preserve">resulting alternative payment </w:t>
      </w:r>
      <w:r w:rsidR="00002BD4" w:rsidRPr="006644D7">
        <w:rPr>
          <w:rFonts w:ascii="Calibri" w:hAnsi="Calibri" w:cs="Calibri"/>
          <w:sz w:val="23"/>
          <w:szCs w:val="23"/>
        </w:rPr>
        <w:t xml:space="preserve">demonstration </w:t>
      </w:r>
      <w:r w:rsidR="00363338" w:rsidRPr="006644D7">
        <w:rPr>
          <w:rFonts w:ascii="Calibri" w:hAnsi="Calibri" w:cs="Calibri"/>
          <w:sz w:val="23"/>
          <w:szCs w:val="23"/>
        </w:rPr>
        <w:t>could offer a compelling</w:t>
      </w:r>
      <w:r w:rsidR="00002BD4" w:rsidRPr="006644D7">
        <w:rPr>
          <w:rFonts w:ascii="Calibri" w:hAnsi="Calibri" w:cs="Calibri"/>
          <w:sz w:val="23"/>
          <w:szCs w:val="23"/>
        </w:rPr>
        <w:t xml:space="preserve"> alternative to the SIP-PL model. </w:t>
      </w:r>
    </w:p>
    <w:p w14:paraId="38C51A43" w14:textId="77777777" w:rsidR="00C05D04" w:rsidRPr="006644D7" w:rsidRDefault="00C05D04">
      <w:pPr>
        <w:rPr>
          <w:rFonts w:ascii="Calibri" w:hAnsi="Calibri" w:cs="Calibri"/>
          <w:sz w:val="23"/>
          <w:szCs w:val="23"/>
        </w:rPr>
      </w:pPr>
      <w:bookmarkStart w:id="0" w:name="_GoBack"/>
      <w:bookmarkEnd w:id="0"/>
    </w:p>
    <w:p w14:paraId="7C8D5CD8" w14:textId="2B3C6E70" w:rsidR="00CD1E9B" w:rsidRPr="006644D7" w:rsidRDefault="00164DC8" w:rsidP="00764C7E">
      <w:pPr>
        <w:pStyle w:val="ListParagraph"/>
        <w:numPr>
          <w:ilvl w:val="0"/>
          <w:numId w:val="2"/>
        </w:numPr>
        <w:ind w:left="720"/>
        <w:rPr>
          <w:rFonts w:ascii="Calibri" w:hAnsi="Calibri" w:cs="Calibri"/>
          <w:b/>
          <w:sz w:val="23"/>
          <w:szCs w:val="23"/>
        </w:rPr>
      </w:pPr>
      <w:r w:rsidRPr="006644D7">
        <w:rPr>
          <w:rFonts w:ascii="Calibri" w:hAnsi="Calibri" w:cs="Calibri"/>
          <w:b/>
          <w:sz w:val="23"/>
          <w:szCs w:val="23"/>
        </w:rPr>
        <w:t>Current</w:t>
      </w:r>
      <w:r w:rsidR="00764C7E" w:rsidRPr="006644D7">
        <w:rPr>
          <w:rFonts w:ascii="Calibri" w:hAnsi="Calibri" w:cs="Calibri"/>
          <w:b/>
          <w:sz w:val="23"/>
          <w:szCs w:val="23"/>
        </w:rPr>
        <w:t xml:space="preserve"> impediments to cost reduction</w:t>
      </w:r>
    </w:p>
    <w:p w14:paraId="1BEC9BEB" w14:textId="77777777" w:rsidR="001E769C" w:rsidRPr="006644D7" w:rsidRDefault="001E769C" w:rsidP="00764C7E">
      <w:pPr>
        <w:rPr>
          <w:rFonts w:ascii="Calibri" w:hAnsi="Calibri" w:cs="Calibri"/>
          <w:sz w:val="23"/>
          <w:szCs w:val="23"/>
        </w:rPr>
      </w:pPr>
    </w:p>
    <w:p w14:paraId="0239FD57" w14:textId="77777777" w:rsidR="00764C7E" w:rsidRPr="006644D7" w:rsidRDefault="00A21BE1" w:rsidP="00764C7E">
      <w:pPr>
        <w:rPr>
          <w:rFonts w:ascii="Calibri" w:hAnsi="Calibri" w:cs="Calibri"/>
          <w:sz w:val="23"/>
          <w:szCs w:val="23"/>
        </w:rPr>
      </w:pPr>
      <w:r w:rsidRPr="006644D7">
        <w:rPr>
          <w:rFonts w:ascii="Calibri" w:hAnsi="Calibri" w:cs="Calibri"/>
          <w:sz w:val="23"/>
          <w:szCs w:val="23"/>
        </w:rPr>
        <w:t xml:space="preserve">The DDAWNY Member Agencies identified and classified multiple challenges to controlling Medicaid expense associated with Western New York’s I/DD population. </w:t>
      </w:r>
      <w:r w:rsidR="008C2F8A" w:rsidRPr="006644D7">
        <w:rPr>
          <w:rFonts w:ascii="Calibri" w:hAnsi="Calibri" w:cs="Calibri"/>
          <w:sz w:val="23"/>
          <w:szCs w:val="23"/>
        </w:rPr>
        <w:t>The current fee-for-service model created and perpetuates many of these challenges.</w:t>
      </w:r>
    </w:p>
    <w:p w14:paraId="05B89C6B" w14:textId="54D919D9" w:rsidR="00A21BE1" w:rsidRPr="006644D7" w:rsidRDefault="006C7541" w:rsidP="00A21BE1">
      <w:pPr>
        <w:pStyle w:val="ListParagraph"/>
        <w:numPr>
          <w:ilvl w:val="0"/>
          <w:numId w:val="3"/>
        </w:numPr>
        <w:rPr>
          <w:rFonts w:ascii="Calibri" w:hAnsi="Calibri" w:cs="Calibri"/>
          <w:sz w:val="23"/>
          <w:szCs w:val="23"/>
        </w:rPr>
      </w:pPr>
      <w:r w:rsidRPr="006644D7">
        <w:rPr>
          <w:rFonts w:ascii="Calibri" w:hAnsi="Calibri" w:cs="Calibri"/>
          <w:sz w:val="23"/>
          <w:szCs w:val="23"/>
        </w:rPr>
        <w:t>Service</w:t>
      </w:r>
      <w:r w:rsidR="00A21BE1" w:rsidRPr="006644D7">
        <w:rPr>
          <w:rFonts w:ascii="Calibri" w:hAnsi="Calibri" w:cs="Calibri"/>
          <w:sz w:val="23"/>
          <w:szCs w:val="23"/>
        </w:rPr>
        <w:t xml:space="preserve"> </w:t>
      </w:r>
      <w:r w:rsidR="002E6565" w:rsidRPr="006644D7">
        <w:rPr>
          <w:rFonts w:ascii="Calibri" w:hAnsi="Calibri" w:cs="Calibri"/>
          <w:sz w:val="23"/>
          <w:szCs w:val="23"/>
        </w:rPr>
        <w:t xml:space="preserve">delivery: </w:t>
      </w:r>
      <w:r w:rsidR="008C2F8A" w:rsidRPr="006644D7">
        <w:rPr>
          <w:rFonts w:ascii="Calibri" w:hAnsi="Calibri" w:cs="Calibri"/>
          <w:sz w:val="23"/>
          <w:szCs w:val="23"/>
        </w:rPr>
        <w:t xml:space="preserve">excessive segmentation of service lines; </w:t>
      </w:r>
      <w:r w:rsidR="001C2C68" w:rsidRPr="006644D7">
        <w:rPr>
          <w:rFonts w:ascii="Calibri" w:hAnsi="Calibri" w:cs="Calibri"/>
          <w:sz w:val="23"/>
          <w:szCs w:val="23"/>
        </w:rPr>
        <w:t xml:space="preserve">duplication of services </w:t>
      </w:r>
      <w:r w:rsidR="0042005A" w:rsidRPr="006644D7">
        <w:rPr>
          <w:rFonts w:ascii="Calibri" w:hAnsi="Calibri" w:cs="Calibri"/>
          <w:sz w:val="23"/>
          <w:szCs w:val="23"/>
        </w:rPr>
        <w:t xml:space="preserve">and </w:t>
      </w:r>
      <w:r w:rsidR="001C2C68" w:rsidRPr="006644D7">
        <w:rPr>
          <w:rFonts w:ascii="Calibri" w:hAnsi="Calibri" w:cs="Calibri"/>
          <w:sz w:val="23"/>
          <w:szCs w:val="23"/>
        </w:rPr>
        <w:t>associated sup</w:t>
      </w:r>
      <w:r w:rsidR="0042005A" w:rsidRPr="006644D7">
        <w:rPr>
          <w:rFonts w:ascii="Calibri" w:hAnsi="Calibri" w:cs="Calibri"/>
          <w:sz w:val="23"/>
          <w:szCs w:val="23"/>
        </w:rPr>
        <w:t>port capacity</w:t>
      </w:r>
      <w:r w:rsidR="001C2C68" w:rsidRPr="006644D7">
        <w:rPr>
          <w:rFonts w:ascii="Calibri" w:hAnsi="Calibri" w:cs="Calibri"/>
          <w:sz w:val="23"/>
          <w:szCs w:val="23"/>
        </w:rPr>
        <w:t xml:space="preserve"> across many providers; </w:t>
      </w:r>
      <w:r w:rsidR="0042005A" w:rsidRPr="006644D7">
        <w:rPr>
          <w:rFonts w:ascii="Calibri" w:hAnsi="Calibri" w:cs="Calibri"/>
          <w:sz w:val="23"/>
          <w:szCs w:val="23"/>
        </w:rPr>
        <w:t>little service continuity with</w:t>
      </w:r>
      <w:r w:rsidR="001C2C68" w:rsidRPr="006644D7">
        <w:rPr>
          <w:rFonts w:ascii="Calibri" w:hAnsi="Calibri" w:cs="Calibri"/>
          <w:sz w:val="23"/>
          <w:szCs w:val="23"/>
        </w:rPr>
        <w:t xml:space="preserve"> other points of care (e.g., primary care, behavioral, </w:t>
      </w:r>
      <w:r w:rsidR="0042005A" w:rsidRPr="006644D7">
        <w:rPr>
          <w:rFonts w:ascii="Calibri" w:hAnsi="Calibri" w:cs="Calibri"/>
          <w:sz w:val="23"/>
          <w:szCs w:val="23"/>
        </w:rPr>
        <w:t>inpatient</w:t>
      </w:r>
      <w:r w:rsidR="001C2C68" w:rsidRPr="006644D7">
        <w:rPr>
          <w:rFonts w:ascii="Calibri" w:hAnsi="Calibri" w:cs="Calibri"/>
          <w:sz w:val="23"/>
          <w:szCs w:val="23"/>
        </w:rPr>
        <w:t xml:space="preserve">); </w:t>
      </w:r>
      <w:r w:rsidR="003D2026" w:rsidRPr="006644D7">
        <w:rPr>
          <w:rFonts w:ascii="Calibri" w:hAnsi="Calibri" w:cs="Calibri"/>
          <w:sz w:val="23"/>
          <w:szCs w:val="23"/>
        </w:rPr>
        <w:t xml:space="preserve">multiple </w:t>
      </w:r>
      <w:r w:rsidR="0042005A" w:rsidRPr="006644D7">
        <w:rPr>
          <w:rFonts w:ascii="Calibri" w:hAnsi="Calibri" w:cs="Calibri"/>
          <w:sz w:val="23"/>
          <w:szCs w:val="23"/>
        </w:rPr>
        <w:t>assessments capturing duplicative information; default ‘heads-in-beds’ mentality that</w:t>
      </w:r>
      <w:r w:rsidR="00E65A35" w:rsidRPr="006644D7">
        <w:rPr>
          <w:rFonts w:ascii="Calibri" w:hAnsi="Calibri" w:cs="Calibri"/>
          <w:sz w:val="23"/>
          <w:szCs w:val="23"/>
        </w:rPr>
        <w:t xml:space="preserve"> effectively</w:t>
      </w:r>
      <w:r w:rsidR="0042005A" w:rsidRPr="006644D7">
        <w:rPr>
          <w:rFonts w:ascii="Calibri" w:hAnsi="Calibri" w:cs="Calibri"/>
          <w:sz w:val="23"/>
          <w:szCs w:val="23"/>
        </w:rPr>
        <w:t xml:space="preserve"> discounts individuals’ </w:t>
      </w:r>
      <w:r w:rsidR="00E65A35" w:rsidRPr="006644D7">
        <w:rPr>
          <w:rFonts w:ascii="Calibri" w:hAnsi="Calibri" w:cs="Calibri"/>
          <w:sz w:val="23"/>
          <w:szCs w:val="23"/>
        </w:rPr>
        <w:t xml:space="preserve">pursuit of </w:t>
      </w:r>
      <w:r w:rsidR="0042005A" w:rsidRPr="006644D7">
        <w:rPr>
          <w:rFonts w:ascii="Calibri" w:hAnsi="Calibri" w:cs="Calibri"/>
          <w:sz w:val="23"/>
          <w:szCs w:val="23"/>
        </w:rPr>
        <w:t>independence</w:t>
      </w:r>
    </w:p>
    <w:p w14:paraId="165575FD" w14:textId="3FA7157B" w:rsidR="002E6565" w:rsidRPr="006644D7" w:rsidRDefault="002E6565" w:rsidP="00A21BE1">
      <w:pPr>
        <w:pStyle w:val="ListParagraph"/>
        <w:numPr>
          <w:ilvl w:val="0"/>
          <w:numId w:val="3"/>
        </w:numPr>
        <w:rPr>
          <w:rFonts w:ascii="Calibri" w:hAnsi="Calibri" w:cs="Calibri"/>
          <w:sz w:val="23"/>
          <w:szCs w:val="23"/>
        </w:rPr>
      </w:pPr>
      <w:r w:rsidRPr="006644D7">
        <w:rPr>
          <w:rFonts w:ascii="Calibri" w:hAnsi="Calibri" w:cs="Calibri"/>
          <w:sz w:val="23"/>
          <w:szCs w:val="23"/>
        </w:rPr>
        <w:t xml:space="preserve">Administrative and regulatory: </w:t>
      </w:r>
      <w:r w:rsidR="0042005A" w:rsidRPr="006644D7">
        <w:rPr>
          <w:rFonts w:ascii="Calibri" w:hAnsi="Calibri" w:cs="Calibri"/>
          <w:sz w:val="23"/>
          <w:szCs w:val="23"/>
        </w:rPr>
        <w:t xml:space="preserve">burdensome </w:t>
      </w:r>
      <w:r w:rsidR="00A92435" w:rsidRPr="006644D7">
        <w:rPr>
          <w:rFonts w:ascii="Calibri" w:hAnsi="Calibri" w:cs="Calibri"/>
          <w:sz w:val="23"/>
          <w:szCs w:val="23"/>
        </w:rPr>
        <w:t>DD</w:t>
      </w:r>
      <w:r w:rsidR="0042005A" w:rsidRPr="006644D7">
        <w:rPr>
          <w:rFonts w:ascii="Calibri" w:hAnsi="Calibri" w:cs="Calibri"/>
          <w:sz w:val="23"/>
          <w:szCs w:val="23"/>
        </w:rPr>
        <w:t xml:space="preserve">RO service authorization driven by volume of units; </w:t>
      </w:r>
      <w:r w:rsidR="008C77EA" w:rsidRPr="006644D7">
        <w:rPr>
          <w:rFonts w:ascii="Calibri" w:hAnsi="Calibri" w:cs="Calibri"/>
          <w:sz w:val="23"/>
          <w:szCs w:val="23"/>
        </w:rPr>
        <w:t xml:space="preserve">inordinate approval delays for certain services (e.g., modifications, technologies) that would obviate more costly services over time; over-investment of time, effort, and other resources to supporting legacy services; </w:t>
      </w:r>
      <w:r w:rsidR="0042005A" w:rsidRPr="006644D7">
        <w:rPr>
          <w:rFonts w:ascii="Calibri" w:hAnsi="Calibri" w:cs="Calibri"/>
          <w:sz w:val="23"/>
          <w:szCs w:val="23"/>
        </w:rPr>
        <w:t>no cost and little quality data shared by OPWDD or DOH</w:t>
      </w:r>
      <w:r w:rsidR="008C77EA" w:rsidRPr="006644D7">
        <w:rPr>
          <w:rFonts w:ascii="Calibri" w:hAnsi="Calibri" w:cs="Calibri"/>
          <w:sz w:val="23"/>
          <w:szCs w:val="23"/>
        </w:rPr>
        <w:t>; unwillingness / inability to accommodate regional variations in infrastructure</w:t>
      </w:r>
    </w:p>
    <w:p w14:paraId="679C2F75" w14:textId="77777777" w:rsidR="002E6565" w:rsidRPr="006644D7" w:rsidRDefault="002E6565" w:rsidP="00A21BE1">
      <w:pPr>
        <w:pStyle w:val="ListParagraph"/>
        <w:numPr>
          <w:ilvl w:val="0"/>
          <w:numId w:val="3"/>
        </w:numPr>
        <w:rPr>
          <w:rFonts w:ascii="Calibri" w:hAnsi="Calibri" w:cs="Calibri"/>
          <w:sz w:val="23"/>
          <w:szCs w:val="23"/>
        </w:rPr>
      </w:pPr>
      <w:r w:rsidRPr="006644D7">
        <w:rPr>
          <w:rFonts w:ascii="Calibri" w:hAnsi="Calibri" w:cs="Calibri"/>
          <w:sz w:val="23"/>
          <w:szCs w:val="23"/>
        </w:rPr>
        <w:t xml:space="preserve">Payment: </w:t>
      </w:r>
      <w:r w:rsidR="001C2C68" w:rsidRPr="006644D7">
        <w:rPr>
          <w:rFonts w:ascii="Calibri" w:hAnsi="Calibri" w:cs="Calibri"/>
          <w:sz w:val="23"/>
          <w:szCs w:val="23"/>
        </w:rPr>
        <w:t xml:space="preserve">no projection of cost impact when </w:t>
      </w:r>
      <w:r w:rsidR="0042005A" w:rsidRPr="006644D7">
        <w:rPr>
          <w:rFonts w:ascii="Calibri" w:hAnsi="Calibri" w:cs="Calibri"/>
          <w:sz w:val="23"/>
          <w:szCs w:val="23"/>
        </w:rPr>
        <w:t>providers request</w:t>
      </w:r>
      <w:r w:rsidR="001C2C68" w:rsidRPr="006644D7">
        <w:rPr>
          <w:rFonts w:ascii="Calibri" w:hAnsi="Calibri" w:cs="Calibri"/>
          <w:sz w:val="23"/>
          <w:szCs w:val="23"/>
        </w:rPr>
        <w:t xml:space="preserve"> services or </w:t>
      </w:r>
      <w:r w:rsidR="00A92435" w:rsidRPr="006644D7">
        <w:rPr>
          <w:rFonts w:ascii="Calibri" w:hAnsi="Calibri" w:cs="Calibri"/>
          <w:sz w:val="23"/>
          <w:szCs w:val="23"/>
        </w:rPr>
        <w:t>DD</w:t>
      </w:r>
      <w:r w:rsidR="0042005A" w:rsidRPr="006644D7">
        <w:rPr>
          <w:rFonts w:ascii="Calibri" w:hAnsi="Calibri" w:cs="Calibri"/>
          <w:sz w:val="23"/>
          <w:szCs w:val="23"/>
        </w:rPr>
        <w:t>ROs make</w:t>
      </w:r>
      <w:r w:rsidR="001C2C68" w:rsidRPr="006644D7">
        <w:rPr>
          <w:rFonts w:ascii="Calibri" w:hAnsi="Calibri" w:cs="Calibri"/>
          <w:sz w:val="23"/>
          <w:szCs w:val="23"/>
        </w:rPr>
        <w:t xml:space="preserve"> authorizations;</w:t>
      </w:r>
      <w:r w:rsidR="0042005A" w:rsidRPr="006644D7">
        <w:rPr>
          <w:rFonts w:ascii="Calibri" w:hAnsi="Calibri" w:cs="Calibri"/>
          <w:sz w:val="23"/>
          <w:szCs w:val="23"/>
        </w:rPr>
        <w:t xml:space="preserve"> constant re-basing </w:t>
      </w:r>
      <w:r w:rsidR="00E65A35" w:rsidRPr="006644D7">
        <w:rPr>
          <w:rFonts w:ascii="Calibri" w:hAnsi="Calibri" w:cs="Calibri"/>
          <w:sz w:val="23"/>
          <w:szCs w:val="23"/>
        </w:rPr>
        <w:t>of highly segmented rates;</w:t>
      </w:r>
      <w:r w:rsidR="0015768E" w:rsidRPr="006644D7">
        <w:rPr>
          <w:rFonts w:ascii="Calibri" w:hAnsi="Calibri" w:cs="Calibri"/>
          <w:sz w:val="23"/>
          <w:szCs w:val="23"/>
        </w:rPr>
        <w:t xml:space="preserve"> insufficient </w:t>
      </w:r>
      <w:r w:rsidR="006F3807" w:rsidRPr="006644D7">
        <w:rPr>
          <w:rFonts w:ascii="Calibri" w:hAnsi="Calibri" w:cs="Calibri"/>
          <w:sz w:val="23"/>
          <w:szCs w:val="23"/>
        </w:rPr>
        <w:t>effort</w:t>
      </w:r>
      <w:r w:rsidR="0015768E" w:rsidRPr="006644D7">
        <w:rPr>
          <w:rFonts w:ascii="Calibri" w:hAnsi="Calibri" w:cs="Calibri"/>
          <w:sz w:val="23"/>
          <w:szCs w:val="23"/>
        </w:rPr>
        <w:t xml:space="preserve"> to shrink / close / repurpose service lines that do not deliver high value to taxpayer or individual;</w:t>
      </w:r>
      <w:r w:rsidR="00E65A35" w:rsidRPr="006644D7">
        <w:rPr>
          <w:rFonts w:ascii="Calibri" w:hAnsi="Calibri" w:cs="Calibri"/>
          <w:sz w:val="23"/>
          <w:szCs w:val="23"/>
        </w:rPr>
        <w:t xml:space="preserve"> myopic assumption that providers must launch Article 44s to transition to VBP</w:t>
      </w:r>
    </w:p>
    <w:p w14:paraId="6DD5942C" w14:textId="77777777" w:rsidR="00C05D04" w:rsidRPr="006644D7" w:rsidRDefault="00C05D04">
      <w:pPr>
        <w:rPr>
          <w:rFonts w:ascii="Calibri" w:hAnsi="Calibri" w:cs="Calibri"/>
          <w:sz w:val="23"/>
          <w:szCs w:val="23"/>
        </w:rPr>
      </w:pPr>
    </w:p>
    <w:p w14:paraId="35A25D76" w14:textId="0081A211" w:rsidR="00474FB4" w:rsidRPr="006644D7" w:rsidRDefault="00002BD4" w:rsidP="00474FB4">
      <w:pPr>
        <w:pStyle w:val="ListParagraph"/>
        <w:numPr>
          <w:ilvl w:val="0"/>
          <w:numId w:val="2"/>
        </w:numPr>
        <w:ind w:left="720"/>
        <w:rPr>
          <w:rFonts w:ascii="Calibri" w:hAnsi="Calibri" w:cs="Calibri"/>
          <w:b/>
          <w:sz w:val="23"/>
          <w:szCs w:val="23"/>
        </w:rPr>
      </w:pPr>
      <w:r w:rsidRPr="006644D7">
        <w:rPr>
          <w:rFonts w:ascii="Calibri" w:hAnsi="Calibri" w:cs="Calibri"/>
          <w:b/>
          <w:sz w:val="23"/>
          <w:szCs w:val="23"/>
        </w:rPr>
        <w:t>Innovations to contain and drive down cost</w:t>
      </w:r>
    </w:p>
    <w:p w14:paraId="30E84CE9" w14:textId="77777777" w:rsidR="00474FB4" w:rsidRPr="006644D7" w:rsidRDefault="00474FB4" w:rsidP="00474FB4">
      <w:pPr>
        <w:rPr>
          <w:rFonts w:ascii="Calibri" w:hAnsi="Calibri" w:cs="Calibri"/>
          <w:sz w:val="23"/>
          <w:szCs w:val="23"/>
        </w:rPr>
      </w:pPr>
    </w:p>
    <w:p w14:paraId="31FDC905" w14:textId="1B3B441F" w:rsidR="001E769C" w:rsidRPr="006644D7" w:rsidRDefault="003C28E8" w:rsidP="00DF16FB">
      <w:pPr>
        <w:rPr>
          <w:rFonts w:ascii="Calibri" w:hAnsi="Calibri" w:cs="Calibri"/>
          <w:sz w:val="23"/>
          <w:szCs w:val="23"/>
        </w:rPr>
      </w:pPr>
      <w:r w:rsidRPr="006644D7">
        <w:rPr>
          <w:rFonts w:ascii="Calibri" w:hAnsi="Calibri" w:cs="Calibri"/>
          <w:sz w:val="23"/>
          <w:szCs w:val="23"/>
        </w:rPr>
        <w:t xml:space="preserve">The DDAWNY Member Agencies propose a </w:t>
      </w:r>
      <w:r w:rsidR="001E769C" w:rsidRPr="006644D7">
        <w:rPr>
          <w:rFonts w:ascii="Calibri" w:hAnsi="Calibri" w:cs="Calibri"/>
          <w:sz w:val="23"/>
          <w:szCs w:val="23"/>
        </w:rPr>
        <w:t>menu</w:t>
      </w:r>
      <w:r w:rsidRPr="006644D7">
        <w:rPr>
          <w:rFonts w:ascii="Calibri" w:hAnsi="Calibri" w:cs="Calibri"/>
          <w:sz w:val="23"/>
          <w:szCs w:val="23"/>
        </w:rPr>
        <w:t xml:space="preserve"> of innovations that</w:t>
      </w:r>
      <w:r w:rsidR="001E769C" w:rsidRPr="006644D7">
        <w:rPr>
          <w:rFonts w:ascii="Calibri" w:hAnsi="Calibri" w:cs="Calibri"/>
          <w:sz w:val="23"/>
          <w:szCs w:val="23"/>
        </w:rPr>
        <w:t xml:space="preserve"> could</w:t>
      </w:r>
      <w:r w:rsidR="00DF16FB" w:rsidRPr="006644D7">
        <w:rPr>
          <w:rFonts w:ascii="Calibri" w:hAnsi="Calibri" w:cs="Calibri"/>
          <w:sz w:val="23"/>
          <w:szCs w:val="23"/>
        </w:rPr>
        <w:t xml:space="preserve"> </w:t>
      </w:r>
      <w:r w:rsidRPr="006644D7">
        <w:rPr>
          <w:rFonts w:ascii="Calibri" w:hAnsi="Calibri" w:cs="Calibri"/>
          <w:sz w:val="23"/>
          <w:szCs w:val="23"/>
        </w:rPr>
        <w:t>s</w:t>
      </w:r>
      <w:r w:rsidR="00DF16FB" w:rsidRPr="006644D7">
        <w:rPr>
          <w:rFonts w:ascii="Calibri" w:hAnsi="Calibri" w:cs="Calibri"/>
          <w:sz w:val="23"/>
          <w:szCs w:val="23"/>
        </w:rPr>
        <w:t xml:space="preserve">treamline </w:t>
      </w:r>
      <w:r w:rsidR="006C7541" w:rsidRPr="006644D7">
        <w:rPr>
          <w:rFonts w:ascii="Calibri" w:hAnsi="Calibri" w:cs="Calibri"/>
          <w:sz w:val="23"/>
          <w:szCs w:val="23"/>
        </w:rPr>
        <w:t>service</w:t>
      </w:r>
      <w:r w:rsidR="00DF16FB" w:rsidRPr="006644D7">
        <w:rPr>
          <w:rFonts w:ascii="Calibri" w:hAnsi="Calibri" w:cs="Calibri"/>
          <w:sz w:val="23"/>
          <w:szCs w:val="23"/>
        </w:rPr>
        <w:t xml:space="preserve"> delivery, address</w:t>
      </w:r>
      <w:r w:rsidRPr="006644D7">
        <w:rPr>
          <w:rFonts w:ascii="Calibri" w:hAnsi="Calibri" w:cs="Calibri"/>
          <w:sz w:val="23"/>
          <w:szCs w:val="23"/>
        </w:rPr>
        <w:t xml:space="preserve"> administrative</w:t>
      </w:r>
      <w:r w:rsidR="00DF16FB" w:rsidRPr="006644D7">
        <w:rPr>
          <w:rFonts w:ascii="Calibri" w:hAnsi="Calibri" w:cs="Calibri"/>
          <w:sz w:val="23"/>
          <w:szCs w:val="23"/>
        </w:rPr>
        <w:t xml:space="preserve"> burden and duplication, and</w:t>
      </w:r>
      <w:r w:rsidRPr="006644D7">
        <w:rPr>
          <w:rFonts w:ascii="Calibri" w:hAnsi="Calibri" w:cs="Calibri"/>
          <w:sz w:val="23"/>
          <w:szCs w:val="23"/>
        </w:rPr>
        <w:t xml:space="preserve"> reduce the total cost of care for the targeted population. </w:t>
      </w:r>
    </w:p>
    <w:p w14:paraId="055268CA" w14:textId="77777777" w:rsidR="001E769C" w:rsidRPr="006644D7" w:rsidRDefault="001E769C" w:rsidP="00DF16FB">
      <w:pPr>
        <w:rPr>
          <w:rFonts w:ascii="Calibri" w:hAnsi="Calibri" w:cs="Calibri"/>
          <w:sz w:val="23"/>
          <w:szCs w:val="23"/>
        </w:rPr>
      </w:pPr>
    </w:p>
    <w:p w14:paraId="71AD3BF3" w14:textId="0FA746F5" w:rsidR="00002BD4" w:rsidRPr="006644D7" w:rsidRDefault="000D044A" w:rsidP="002F750B">
      <w:pPr>
        <w:pStyle w:val="ListParagraph"/>
        <w:numPr>
          <w:ilvl w:val="0"/>
          <w:numId w:val="7"/>
        </w:numPr>
        <w:rPr>
          <w:rFonts w:ascii="Calibri" w:hAnsi="Calibri" w:cs="Calibri"/>
          <w:b/>
          <w:sz w:val="23"/>
          <w:szCs w:val="23"/>
        </w:rPr>
      </w:pPr>
      <w:r w:rsidRPr="006644D7">
        <w:rPr>
          <w:rFonts w:ascii="Calibri" w:hAnsi="Calibri" w:cs="Calibri"/>
          <w:b/>
          <w:sz w:val="23"/>
          <w:szCs w:val="23"/>
        </w:rPr>
        <w:t>Delegate specific regional oversight and management functions to the CCO</w:t>
      </w:r>
    </w:p>
    <w:p w14:paraId="364C8C57" w14:textId="6F245EB4" w:rsidR="00461EB2" w:rsidRPr="006644D7" w:rsidRDefault="004B3C85" w:rsidP="007948C7">
      <w:pPr>
        <w:ind w:left="720"/>
        <w:rPr>
          <w:rFonts w:ascii="Calibri" w:hAnsi="Calibri" w:cs="Calibri"/>
          <w:sz w:val="23"/>
          <w:szCs w:val="23"/>
        </w:rPr>
      </w:pPr>
      <w:r w:rsidRPr="006644D7">
        <w:rPr>
          <w:rFonts w:ascii="Calibri" w:hAnsi="Calibri" w:cs="Calibri"/>
          <w:sz w:val="23"/>
          <w:szCs w:val="23"/>
        </w:rPr>
        <w:t>CCO</w:t>
      </w:r>
      <w:r w:rsidR="000D044A" w:rsidRPr="006644D7">
        <w:rPr>
          <w:rFonts w:ascii="Calibri" w:hAnsi="Calibri" w:cs="Calibri"/>
          <w:sz w:val="23"/>
          <w:szCs w:val="23"/>
        </w:rPr>
        <w:t>s maintain two important</w:t>
      </w:r>
      <w:r w:rsidRPr="006644D7">
        <w:rPr>
          <w:rFonts w:ascii="Calibri" w:hAnsi="Calibri" w:cs="Calibri"/>
          <w:sz w:val="23"/>
          <w:szCs w:val="23"/>
        </w:rPr>
        <w:t xml:space="preserve"> characteristics</w:t>
      </w:r>
      <w:r w:rsidR="00E273FC" w:rsidRPr="006644D7">
        <w:rPr>
          <w:rFonts w:ascii="Calibri" w:hAnsi="Calibri" w:cs="Calibri"/>
          <w:sz w:val="23"/>
          <w:szCs w:val="23"/>
        </w:rPr>
        <w:t xml:space="preserve"> for </w:t>
      </w:r>
      <w:r w:rsidR="00906D07" w:rsidRPr="006644D7">
        <w:rPr>
          <w:rFonts w:ascii="Calibri" w:hAnsi="Calibri" w:cs="Calibri"/>
          <w:sz w:val="23"/>
          <w:szCs w:val="23"/>
        </w:rPr>
        <w:t>the transition to</w:t>
      </w:r>
      <w:r w:rsidR="00E273FC" w:rsidRPr="006644D7">
        <w:rPr>
          <w:rFonts w:ascii="Calibri" w:hAnsi="Calibri" w:cs="Calibri"/>
          <w:sz w:val="23"/>
          <w:szCs w:val="23"/>
        </w:rPr>
        <w:t xml:space="preserve"> </w:t>
      </w:r>
      <w:r w:rsidR="009B277B" w:rsidRPr="006644D7">
        <w:rPr>
          <w:rFonts w:ascii="Calibri" w:hAnsi="Calibri" w:cs="Calibri"/>
          <w:sz w:val="23"/>
          <w:szCs w:val="23"/>
        </w:rPr>
        <w:t>value-</w:t>
      </w:r>
      <w:r w:rsidR="00906D07" w:rsidRPr="006644D7">
        <w:rPr>
          <w:rFonts w:ascii="Calibri" w:hAnsi="Calibri" w:cs="Calibri"/>
          <w:sz w:val="23"/>
          <w:szCs w:val="23"/>
        </w:rPr>
        <w:t>driven</w:t>
      </w:r>
      <w:r w:rsidR="009B277B" w:rsidRPr="006644D7">
        <w:rPr>
          <w:rFonts w:ascii="Calibri" w:hAnsi="Calibri" w:cs="Calibri"/>
          <w:sz w:val="23"/>
          <w:szCs w:val="23"/>
        </w:rPr>
        <w:t xml:space="preserve"> services</w:t>
      </w:r>
      <w:r w:rsidRPr="006644D7">
        <w:rPr>
          <w:rFonts w:ascii="Calibri" w:hAnsi="Calibri" w:cs="Calibri"/>
          <w:sz w:val="23"/>
          <w:szCs w:val="23"/>
        </w:rPr>
        <w:t xml:space="preserve">: (1) </w:t>
      </w:r>
      <w:r w:rsidR="000D044A" w:rsidRPr="006644D7">
        <w:rPr>
          <w:rFonts w:ascii="Calibri" w:hAnsi="Calibri" w:cs="Calibri"/>
          <w:sz w:val="23"/>
          <w:szCs w:val="23"/>
        </w:rPr>
        <w:t>a</w:t>
      </w:r>
      <w:r w:rsidRPr="006644D7">
        <w:rPr>
          <w:rFonts w:ascii="Calibri" w:hAnsi="Calibri" w:cs="Calibri"/>
          <w:sz w:val="23"/>
          <w:szCs w:val="23"/>
        </w:rPr>
        <w:t xml:space="preserve"> hub-and-spoke</w:t>
      </w:r>
      <w:r w:rsidR="000D044A" w:rsidRPr="006644D7">
        <w:rPr>
          <w:rFonts w:ascii="Calibri" w:hAnsi="Calibri" w:cs="Calibri"/>
          <w:sz w:val="23"/>
          <w:szCs w:val="23"/>
        </w:rPr>
        <w:t xml:space="preserve"> relationship to providers in the region and (2) a shared governance apparatus. </w:t>
      </w:r>
      <w:r w:rsidR="00461EB2" w:rsidRPr="006644D7">
        <w:rPr>
          <w:rFonts w:ascii="Calibri" w:hAnsi="Calibri" w:cs="Calibri"/>
          <w:sz w:val="23"/>
          <w:szCs w:val="23"/>
        </w:rPr>
        <w:t xml:space="preserve">As </w:t>
      </w:r>
      <w:r w:rsidR="000D044A" w:rsidRPr="006644D7">
        <w:rPr>
          <w:rFonts w:ascii="Calibri" w:hAnsi="Calibri" w:cs="Calibri"/>
          <w:sz w:val="23"/>
          <w:szCs w:val="23"/>
        </w:rPr>
        <w:t xml:space="preserve">de facto </w:t>
      </w:r>
      <w:r w:rsidR="00461EB2" w:rsidRPr="006644D7">
        <w:rPr>
          <w:rFonts w:ascii="Calibri" w:hAnsi="Calibri" w:cs="Calibri"/>
          <w:sz w:val="23"/>
          <w:szCs w:val="23"/>
        </w:rPr>
        <w:t xml:space="preserve">network heads, CCOs should assume the following responsibilities </w:t>
      </w:r>
      <w:r w:rsidR="00C41FEE" w:rsidRPr="006644D7">
        <w:rPr>
          <w:rFonts w:ascii="Calibri" w:hAnsi="Calibri" w:cs="Calibri"/>
          <w:sz w:val="23"/>
          <w:szCs w:val="23"/>
        </w:rPr>
        <w:t>on behalf of</w:t>
      </w:r>
      <w:r w:rsidR="00AB35DF" w:rsidRPr="006644D7">
        <w:rPr>
          <w:rFonts w:ascii="Calibri" w:hAnsi="Calibri" w:cs="Calibri"/>
          <w:sz w:val="23"/>
          <w:szCs w:val="23"/>
        </w:rPr>
        <w:t xml:space="preserve"> their participating providers:</w:t>
      </w:r>
    </w:p>
    <w:p w14:paraId="5926DEA6" w14:textId="79B18433" w:rsidR="00461EB2" w:rsidRPr="006644D7" w:rsidRDefault="00F07565" w:rsidP="00461EB2">
      <w:pPr>
        <w:pStyle w:val="ListParagraph"/>
        <w:numPr>
          <w:ilvl w:val="0"/>
          <w:numId w:val="11"/>
        </w:numPr>
        <w:rPr>
          <w:rFonts w:ascii="Calibri" w:hAnsi="Calibri" w:cs="Calibri"/>
          <w:sz w:val="23"/>
          <w:szCs w:val="23"/>
        </w:rPr>
      </w:pPr>
      <w:r w:rsidRPr="006644D7">
        <w:rPr>
          <w:rFonts w:ascii="Calibri" w:hAnsi="Calibri" w:cs="Calibri"/>
          <w:sz w:val="23"/>
          <w:szCs w:val="23"/>
        </w:rPr>
        <w:lastRenderedPageBreak/>
        <w:t>Service payment</w:t>
      </w:r>
      <w:r w:rsidR="00AF3C08" w:rsidRPr="006644D7">
        <w:rPr>
          <w:rFonts w:ascii="Calibri" w:hAnsi="Calibri" w:cs="Calibri"/>
          <w:sz w:val="23"/>
          <w:szCs w:val="23"/>
        </w:rPr>
        <w:t xml:space="preserve"> and billing</w:t>
      </w:r>
      <w:r w:rsidRPr="006644D7">
        <w:rPr>
          <w:rFonts w:ascii="Calibri" w:hAnsi="Calibri" w:cs="Calibri"/>
          <w:sz w:val="23"/>
          <w:szCs w:val="23"/>
        </w:rPr>
        <w:t xml:space="preserve"> </w:t>
      </w:r>
    </w:p>
    <w:p w14:paraId="76C78FC0" w14:textId="6184C8DE" w:rsidR="00461EB2" w:rsidRPr="006644D7" w:rsidRDefault="00461EB2" w:rsidP="00461EB2">
      <w:pPr>
        <w:pStyle w:val="ListParagraph"/>
        <w:numPr>
          <w:ilvl w:val="0"/>
          <w:numId w:val="11"/>
        </w:numPr>
        <w:rPr>
          <w:rFonts w:ascii="Calibri" w:hAnsi="Calibri" w:cs="Calibri"/>
          <w:sz w:val="23"/>
          <w:szCs w:val="23"/>
        </w:rPr>
      </w:pPr>
      <w:r w:rsidRPr="006644D7">
        <w:rPr>
          <w:rFonts w:ascii="Calibri" w:hAnsi="Calibri" w:cs="Calibri"/>
          <w:sz w:val="23"/>
          <w:szCs w:val="23"/>
        </w:rPr>
        <w:t>D</w:t>
      </w:r>
      <w:r w:rsidR="00E273FC" w:rsidRPr="006644D7">
        <w:rPr>
          <w:rFonts w:ascii="Calibri" w:hAnsi="Calibri" w:cs="Calibri"/>
          <w:sz w:val="23"/>
          <w:szCs w:val="23"/>
        </w:rPr>
        <w:t>ata ag</w:t>
      </w:r>
      <w:r w:rsidRPr="006644D7">
        <w:rPr>
          <w:rFonts w:ascii="Calibri" w:hAnsi="Calibri" w:cs="Calibri"/>
          <w:sz w:val="23"/>
          <w:szCs w:val="23"/>
        </w:rPr>
        <w:t xml:space="preserve">gregation and </w:t>
      </w:r>
      <w:r w:rsidR="006C7541" w:rsidRPr="006644D7">
        <w:rPr>
          <w:rFonts w:ascii="Calibri" w:hAnsi="Calibri" w:cs="Calibri"/>
          <w:sz w:val="23"/>
          <w:szCs w:val="23"/>
        </w:rPr>
        <w:t>service</w:t>
      </w:r>
      <w:r w:rsidRPr="006644D7">
        <w:rPr>
          <w:rFonts w:ascii="Calibri" w:hAnsi="Calibri" w:cs="Calibri"/>
          <w:sz w:val="23"/>
          <w:szCs w:val="23"/>
        </w:rPr>
        <w:t xml:space="preserve"> reporting</w:t>
      </w:r>
      <w:r w:rsidR="00E273FC" w:rsidRPr="006644D7">
        <w:rPr>
          <w:rFonts w:ascii="Calibri" w:hAnsi="Calibri" w:cs="Calibri"/>
          <w:sz w:val="23"/>
          <w:szCs w:val="23"/>
        </w:rPr>
        <w:t xml:space="preserve"> </w:t>
      </w:r>
    </w:p>
    <w:p w14:paraId="43C92CE0" w14:textId="54B90066" w:rsidR="00461EB2" w:rsidRPr="006644D7" w:rsidRDefault="00461EB2" w:rsidP="00461EB2">
      <w:pPr>
        <w:pStyle w:val="ListParagraph"/>
        <w:numPr>
          <w:ilvl w:val="0"/>
          <w:numId w:val="11"/>
        </w:numPr>
        <w:rPr>
          <w:rFonts w:ascii="Calibri" w:hAnsi="Calibri" w:cs="Calibri"/>
          <w:sz w:val="23"/>
          <w:szCs w:val="23"/>
        </w:rPr>
      </w:pPr>
      <w:r w:rsidRPr="006644D7">
        <w:rPr>
          <w:rFonts w:ascii="Calibri" w:hAnsi="Calibri" w:cs="Calibri"/>
          <w:sz w:val="23"/>
          <w:szCs w:val="23"/>
        </w:rPr>
        <w:t>U</w:t>
      </w:r>
      <w:r w:rsidR="00E273FC" w:rsidRPr="006644D7">
        <w:rPr>
          <w:rFonts w:ascii="Calibri" w:hAnsi="Calibri" w:cs="Calibri"/>
          <w:sz w:val="23"/>
          <w:szCs w:val="23"/>
        </w:rPr>
        <w:t>tilization management and service authorization</w:t>
      </w:r>
    </w:p>
    <w:p w14:paraId="72A50ABE" w14:textId="163A2DB0" w:rsidR="00461EB2" w:rsidRPr="006644D7" w:rsidRDefault="00AF3C08" w:rsidP="00461EB2">
      <w:pPr>
        <w:pStyle w:val="ListParagraph"/>
        <w:numPr>
          <w:ilvl w:val="0"/>
          <w:numId w:val="11"/>
        </w:numPr>
        <w:rPr>
          <w:rFonts w:ascii="Calibri" w:hAnsi="Calibri" w:cs="Calibri"/>
          <w:sz w:val="23"/>
          <w:szCs w:val="23"/>
        </w:rPr>
      </w:pPr>
      <w:r w:rsidRPr="006644D7">
        <w:rPr>
          <w:rFonts w:ascii="Calibri" w:hAnsi="Calibri" w:cs="Calibri"/>
          <w:sz w:val="23"/>
          <w:szCs w:val="23"/>
        </w:rPr>
        <w:t>Rate negotiation</w:t>
      </w:r>
    </w:p>
    <w:p w14:paraId="58511F39" w14:textId="50297823" w:rsidR="004C7023" w:rsidRPr="006644D7" w:rsidRDefault="004C7023" w:rsidP="00461EB2">
      <w:pPr>
        <w:pStyle w:val="ListParagraph"/>
        <w:numPr>
          <w:ilvl w:val="0"/>
          <w:numId w:val="11"/>
        </w:numPr>
        <w:rPr>
          <w:rFonts w:ascii="Calibri" w:hAnsi="Calibri" w:cs="Calibri"/>
          <w:sz w:val="23"/>
          <w:szCs w:val="23"/>
        </w:rPr>
      </w:pPr>
      <w:r w:rsidRPr="006644D7">
        <w:rPr>
          <w:rFonts w:ascii="Calibri" w:hAnsi="Calibri" w:cs="Calibri"/>
          <w:sz w:val="23"/>
          <w:szCs w:val="23"/>
        </w:rPr>
        <w:t>Certain human resources functions</w:t>
      </w:r>
    </w:p>
    <w:p w14:paraId="71C8C09D" w14:textId="77777777" w:rsidR="00461EB2" w:rsidRPr="006644D7" w:rsidRDefault="00461EB2" w:rsidP="007948C7">
      <w:pPr>
        <w:ind w:left="720"/>
        <w:rPr>
          <w:rFonts w:ascii="Calibri" w:hAnsi="Calibri" w:cs="Calibri"/>
          <w:sz w:val="23"/>
          <w:szCs w:val="23"/>
        </w:rPr>
      </w:pPr>
    </w:p>
    <w:p w14:paraId="26174174" w14:textId="242EE252" w:rsidR="00AB35DF" w:rsidRPr="006644D7" w:rsidRDefault="00E273FC" w:rsidP="008D0CF8">
      <w:pPr>
        <w:ind w:left="720"/>
        <w:rPr>
          <w:rFonts w:ascii="Calibri" w:hAnsi="Calibri" w:cs="Calibri"/>
          <w:sz w:val="23"/>
          <w:szCs w:val="23"/>
        </w:rPr>
      </w:pPr>
      <w:r w:rsidRPr="006644D7">
        <w:rPr>
          <w:rFonts w:ascii="Calibri" w:hAnsi="Calibri" w:cs="Calibri"/>
          <w:sz w:val="23"/>
          <w:szCs w:val="23"/>
        </w:rPr>
        <w:t>The CCO could operate as a management services organization</w:t>
      </w:r>
      <w:r w:rsidR="002F750B" w:rsidRPr="006644D7">
        <w:rPr>
          <w:rFonts w:ascii="Calibri" w:hAnsi="Calibri" w:cs="Calibri"/>
          <w:sz w:val="23"/>
          <w:szCs w:val="23"/>
        </w:rPr>
        <w:t xml:space="preserve"> (MSO)</w:t>
      </w:r>
      <w:r w:rsidRPr="006644D7">
        <w:rPr>
          <w:rFonts w:ascii="Calibri" w:hAnsi="Calibri" w:cs="Calibri"/>
          <w:sz w:val="23"/>
          <w:szCs w:val="23"/>
        </w:rPr>
        <w:t xml:space="preserve">, although application and approval for </w:t>
      </w:r>
      <w:r w:rsidR="009B277B" w:rsidRPr="006644D7">
        <w:rPr>
          <w:rFonts w:ascii="Calibri" w:hAnsi="Calibri" w:cs="Calibri"/>
          <w:sz w:val="23"/>
          <w:szCs w:val="23"/>
        </w:rPr>
        <w:t>other provider network arrangements would</w:t>
      </w:r>
      <w:r w:rsidR="008D0CF8">
        <w:rPr>
          <w:rFonts w:ascii="Calibri" w:hAnsi="Calibri" w:cs="Calibri"/>
          <w:sz w:val="23"/>
          <w:szCs w:val="23"/>
        </w:rPr>
        <w:t>, over time,</w:t>
      </w:r>
      <w:r w:rsidR="009B277B" w:rsidRPr="006644D7">
        <w:rPr>
          <w:rFonts w:ascii="Calibri" w:hAnsi="Calibri" w:cs="Calibri"/>
          <w:sz w:val="23"/>
          <w:szCs w:val="23"/>
        </w:rPr>
        <w:t xml:space="preserve"> allow groups of providers to enter risk-bearing contracts</w:t>
      </w:r>
      <w:r w:rsidR="002F750B" w:rsidRPr="006644D7">
        <w:rPr>
          <w:rFonts w:ascii="Calibri" w:hAnsi="Calibri" w:cs="Calibri"/>
          <w:sz w:val="23"/>
          <w:szCs w:val="23"/>
        </w:rPr>
        <w:t xml:space="preserve">. </w:t>
      </w:r>
      <w:r w:rsidR="00AB35DF" w:rsidRPr="006644D7">
        <w:rPr>
          <w:rFonts w:ascii="Calibri" w:hAnsi="Calibri" w:cs="Calibri"/>
          <w:sz w:val="23"/>
          <w:szCs w:val="23"/>
        </w:rPr>
        <w:t xml:space="preserve">Additionally, </w:t>
      </w:r>
      <w:r w:rsidR="009B277B" w:rsidRPr="006644D7">
        <w:rPr>
          <w:rFonts w:ascii="Calibri" w:hAnsi="Calibri" w:cs="Calibri"/>
          <w:sz w:val="23"/>
          <w:szCs w:val="23"/>
        </w:rPr>
        <w:t>OPWDD should seriously consider sharing cost data for lives attributed to the CCO; this information is essential to curbing cost and enhan</w:t>
      </w:r>
      <w:r w:rsidR="008D0CF8">
        <w:rPr>
          <w:rFonts w:ascii="Calibri" w:hAnsi="Calibri" w:cs="Calibri"/>
          <w:sz w:val="23"/>
          <w:szCs w:val="23"/>
        </w:rPr>
        <w:t xml:space="preserve">cing services for individuals. Finally, there </w:t>
      </w:r>
      <w:r w:rsidR="00AB35DF" w:rsidRPr="006644D7">
        <w:rPr>
          <w:rFonts w:ascii="Calibri" w:hAnsi="Calibri" w:cs="Calibri"/>
          <w:sz w:val="23"/>
          <w:szCs w:val="23"/>
        </w:rPr>
        <w:t>are unavoidable upfront costs associated with the CCO assuming the above-listed functions</w:t>
      </w:r>
      <w:r w:rsidR="002D494C">
        <w:rPr>
          <w:rFonts w:ascii="Calibri" w:hAnsi="Calibri" w:cs="Calibri"/>
          <w:sz w:val="23"/>
          <w:szCs w:val="23"/>
        </w:rPr>
        <w:t xml:space="preserve">. OPWDD and providers could, however, carefully tie these costs to long-term </w:t>
      </w:r>
      <w:r w:rsidR="00AB35DF" w:rsidRPr="006644D7">
        <w:rPr>
          <w:rFonts w:ascii="Calibri" w:hAnsi="Calibri" w:cs="Calibri"/>
          <w:sz w:val="23"/>
          <w:szCs w:val="23"/>
        </w:rPr>
        <w:t>return on investment</w:t>
      </w:r>
      <w:r w:rsidR="002D494C">
        <w:rPr>
          <w:rFonts w:ascii="Calibri" w:hAnsi="Calibri" w:cs="Calibri"/>
          <w:sz w:val="23"/>
          <w:szCs w:val="23"/>
        </w:rPr>
        <w:t xml:space="preserve"> benchmarks</w:t>
      </w:r>
      <w:r w:rsidR="00AB35DF" w:rsidRPr="006644D7">
        <w:rPr>
          <w:rFonts w:ascii="Calibri" w:hAnsi="Calibri" w:cs="Calibri"/>
          <w:sz w:val="23"/>
          <w:szCs w:val="23"/>
        </w:rPr>
        <w:t>.</w:t>
      </w:r>
      <w:r w:rsidR="00714CD1">
        <w:rPr>
          <w:rFonts w:ascii="Calibri" w:hAnsi="Calibri" w:cs="Calibri"/>
          <w:sz w:val="23"/>
          <w:szCs w:val="23"/>
        </w:rPr>
        <w:t xml:space="preserve"> </w:t>
      </w:r>
    </w:p>
    <w:p w14:paraId="0CC466C9" w14:textId="77777777" w:rsidR="000D044A" w:rsidRPr="009B2659" w:rsidRDefault="000D044A" w:rsidP="004B3C85">
      <w:pPr>
        <w:ind w:left="360"/>
        <w:rPr>
          <w:rFonts w:ascii="Calibri" w:hAnsi="Calibri" w:cs="Calibri"/>
          <w:sz w:val="16"/>
          <w:szCs w:val="16"/>
        </w:rPr>
      </w:pPr>
    </w:p>
    <w:p w14:paraId="3C15C937" w14:textId="500E23C8" w:rsidR="002F750B" w:rsidRPr="006644D7" w:rsidRDefault="001D6FCD" w:rsidP="002F750B">
      <w:pPr>
        <w:pStyle w:val="ListParagraph"/>
        <w:numPr>
          <w:ilvl w:val="0"/>
          <w:numId w:val="7"/>
        </w:numPr>
        <w:rPr>
          <w:rFonts w:ascii="Calibri" w:hAnsi="Calibri" w:cs="Calibri"/>
          <w:b/>
          <w:sz w:val="23"/>
          <w:szCs w:val="23"/>
        </w:rPr>
      </w:pPr>
      <w:r w:rsidRPr="006644D7">
        <w:rPr>
          <w:rFonts w:ascii="Calibri" w:hAnsi="Calibri" w:cs="Calibri"/>
          <w:b/>
          <w:sz w:val="23"/>
          <w:szCs w:val="23"/>
        </w:rPr>
        <w:t xml:space="preserve">Shift from volume to value by </w:t>
      </w:r>
      <w:r w:rsidR="0095540B" w:rsidRPr="006644D7">
        <w:rPr>
          <w:rFonts w:ascii="Calibri" w:hAnsi="Calibri" w:cs="Calibri"/>
          <w:b/>
          <w:sz w:val="23"/>
          <w:szCs w:val="23"/>
        </w:rPr>
        <w:t>bundling complementary services and payments</w:t>
      </w:r>
    </w:p>
    <w:p w14:paraId="290A88C3" w14:textId="4E2FB7AF" w:rsidR="00002BD4" w:rsidRPr="006644D7" w:rsidRDefault="009F7B29" w:rsidP="00872371">
      <w:pPr>
        <w:pStyle w:val="ListParagraph"/>
        <w:rPr>
          <w:rFonts w:ascii="Calibri" w:hAnsi="Calibri" w:cs="Calibri"/>
          <w:sz w:val="23"/>
          <w:szCs w:val="23"/>
        </w:rPr>
      </w:pPr>
      <w:r w:rsidRPr="006644D7">
        <w:rPr>
          <w:rFonts w:ascii="Calibri" w:hAnsi="Calibri" w:cs="Calibri"/>
          <w:sz w:val="23"/>
          <w:szCs w:val="23"/>
        </w:rPr>
        <w:t>OPWDD could incentivize value</w:t>
      </w:r>
      <w:r w:rsidR="00872371" w:rsidRPr="006644D7">
        <w:rPr>
          <w:rFonts w:ascii="Calibri" w:hAnsi="Calibri" w:cs="Calibri"/>
          <w:sz w:val="23"/>
          <w:szCs w:val="23"/>
        </w:rPr>
        <w:t xml:space="preserve"> by bundling</w:t>
      </w:r>
      <w:r w:rsidRPr="006644D7">
        <w:rPr>
          <w:rFonts w:ascii="Calibri" w:hAnsi="Calibri" w:cs="Calibri"/>
          <w:sz w:val="23"/>
          <w:szCs w:val="23"/>
        </w:rPr>
        <w:t xml:space="preserve"> services and corresponding payments across a population. Bundling would require stratifying the population by risk/acuity groupings and then offering tiers of capitated monthly payments. OPWDD and providers </w:t>
      </w:r>
      <w:r w:rsidR="0064760F" w:rsidRPr="006644D7">
        <w:rPr>
          <w:rFonts w:ascii="Calibri" w:hAnsi="Calibri" w:cs="Calibri"/>
          <w:sz w:val="23"/>
          <w:szCs w:val="23"/>
        </w:rPr>
        <w:t>would</w:t>
      </w:r>
      <w:r w:rsidRPr="006644D7">
        <w:rPr>
          <w:rFonts w:ascii="Calibri" w:hAnsi="Calibri" w:cs="Calibri"/>
          <w:sz w:val="23"/>
          <w:szCs w:val="23"/>
        </w:rPr>
        <w:t xml:space="preserve"> collaboratively score risk/acuity, and, while OPWDD remains the single payer, OPWDD and providers </w:t>
      </w:r>
      <w:r w:rsidR="0064760F" w:rsidRPr="006644D7">
        <w:rPr>
          <w:rFonts w:ascii="Calibri" w:hAnsi="Calibri" w:cs="Calibri"/>
          <w:sz w:val="23"/>
          <w:szCs w:val="23"/>
        </w:rPr>
        <w:t>would</w:t>
      </w:r>
      <w:r w:rsidR="00872371" w:rsidRPr="006644D7">
        <w:rPr>
          <w:rFonts w:ascii="Calibri" w:hAnsi="Calibri" w:cs="Calibri"/>
          <w:sz w:val="23"/>
          <w:szCs w:val="23"/>
        </w:rPr>
        <w:t xml:space="preserve"> jointly</w:t>
      </w:r>
      <w:r w:rsidRPr="006644D7">
        <w:rPr>
          <w:rFonts w:ascii="Calibri" w:hAnsi="Calibri" w:cs="Calibri"/>
          <w:sz w:val="23"/>
          <w:szCs w:val="23"/>
        </w:rPr>
        <w:t xml:space="preserve"> negotiate </w:t>
      </w:r>
      <w:r w:rsidR="00872371" w:rsidRPr="006644D7">
        <w:rPr>
          <w:rFonts w:ascii="Calibri" w:hAnsi="Calibri" w:cs="Calibri"/>
          <w:sz w:val="23"/>
          <w:szCs w:val="23"/>
        </w:rPr>
        <w:t>rate tiers within each bundle. Possible value-driving bundles could include the following.</w:t>
      </w:r>
    </w:p>
    <w:p w14:paraId="32BB58FC" w14:textId="77777777" w:rsidR="007A1058" w:rsidRPr="006644D7" w:rsidRDefault="007A1058" w:rsidP="00872371">
      <w:pPr>
        <w:jc w:val="center"/>
        <w:rPr>
          <w:rFonts w:ascii="Calibri" w:hAnsi="Calibri" w:cs="Calibri"/>
          <w:sz w:val="23"/>
          <w:szCs w:val="23"/>
        </w:rPr>
      </w:pPr>
    </w:p>
    <w:tbl>
      <w:tblPr>
        <w:tblW w:w="8340" w:type="dxa"/>
        <w:jc w:val="center"/>
        <w:tblLook w:val="04A0" w:firstRow="1" w:lastRow="0" w:firstColumn="1" w:lastColumn="0" w:noHBand="0" w:noVBand="1"/>
      </w:tblPr>
      <w:tblGrid>
        <w:gridCol w:w="2780"/>
        <w:gridCol w:w="2780"/>
        <w:gridCol w:w="2780"/>
      </w:tblGrid>
      <w:tr w:rsidR="007A1058" w:rsidRPr="006644D7" w14:paraId="7F1430D4" w14:textId="77777777" w:rsidTr="007A1058">
        <w:trPr>
          <w:trHeight w:val="340"/>
          <w:jc w:val="center"/>
        </w:trPr>
        <w:tc>
          <w:tcPr>
            <w:tcW w:w="2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27E9EE" w14:textId="77777777" w:rsidR="007A1058" w:rsidRPr="006644D7" w:rsidRDefault="007A1058" w:rsidP="00872371">
            <w:pPr>
              <w:jc w:val="center"/>
              <w:rPr>
                <w:rFonts w:ascii="Calibri" w:hAnsi="Calibri" w:cs="Calibri"/>
                <w:b/>
                <w:bCs/>
                <w:color w:val="000000"/>
                <w:sz w:val="23"/>
                <w:szCs w:val="23"/>
              </w:rPr>
            </w:pPr>
            <w:r w:rsidRPr="006644D7">
              <w:rPr>
                <w:rFonts w:ascii="Calibri" w:hAnsi="Calibri" w:cs="Calibri"/>
                <w:b/>
                <w:bCs/>
                <w:color w:val="000000"/>
                <w:sz w:val="23"/>
                <w:szCs w:val="23"/>
              </w:rPr>
              <w:t>Community Living Bundle</w:t>
            </w:r>
          </w:p>
        </w:tc>
        <w:tc>
          <w:tcPr>
            <w:tcW w:w="2780" w:type="dxa"/>
            <w:tcBorders>
              <w:top w:val="single" w:sz="4" w:space="0" w:color="auto"/>
              <w:left w:val="nil"/>
              <w:bottom w:val="single" w:sz="4" w:space="0" w:color="auto"/>
              <w:right w:val="single" w:sz="4" w:space="0" w:color="auto"/>
            </w:tcBorders>
            <w:shd w:val="clear" w:color="000000" w:fill="D9D9D9"/>
            <w:vAlign w:val="bottom"/>
            <w:hideMark/>
          </w:tcPr>
          <w:p w14:paraId="464635E3" w14:textId="77777777" w:rsidR="007A1058" w:rsidRPr="006644D7" w:rsidRDefault="007A1058" w:rsidP="00872371">
            <w:pPr>
              <w:jc w:val="center"/>
              <w:rPr>
                <w:rFonts w:ascii="Calibri" w:hAnsi="Calibri" w:cs="Calibri"/>
                <w:b/>
                <w:bCs/>
                <w:color w:val="000000"/>
                <w:sz w:val="23"/>
                <w:szCs w:val="23"/>
              </w:rPr>
            </w:pPr>
            <w:r w:rsidRPr="006644D7">
              <w:rPr>
                <w:rFonts w:ascii="Calibri" w:hAnsi="Calibri" w:cs="Calibri"/>
                <w:b/>
                <w:bCs/>
                <w:color w:val="000000"/>
                <w:sz w:val="23"/>
                <w:szCs w:val="23"/>
              </w:rPr>
              <w:t>Social Integration Bundle</w:t>
            </w:r>
          </w:p>
        </w:tc>
        <w:tc>
          <w:tcPr>
            <w:tcW w:w="2780" w:type="dxa"/>
            <w:tcBorders>
              <w:top w:val="single" w:sz="4" w:space="0" w:color="auto"/>
              <w:left w:val="nil"/>
              <w:bottom w:val="single" w:sz="4" w:space="0" w:color="auto"/>
              <w:right w:val="single" w:sz="4" w:space="0" w:color="auto"/>
            </w:tcBorders>
            <w:shd w:val="clear" w:color="000000" w:fill="D9D9D9"/>
            <w:vAlign w:val="bottom"/>
            <w:hideMark/>
          </w:tcPr>
          <w:p w14:paraId="0E8E2AFF" w14:textId="77777777" w:rsidR="007A1058" w:rsidRPr="006644D7" w:rsidRDefault="007A1058" w:rsidP="00872371">
            <w:pPr>
              <w:jc w:val="center"/>
              <w:rPr>
                <w:rFonts w:ascii="Calibri" w:hAnsi="Calibri" w:cs="Calibri"/>
                <w:b/>
                <w:bCs/>
                <w:color w:val="000000"/>
                <w:sz w:val="23"/>
                <w:szCs w:val="23"/>
              </w:rPr>
            </w:pPr>
            <w:r w:rsidRPr="006644D7">
              <w:rPr>
                <w:rFonts w:ascii="Calibri" w:hAnsi="Calibri" w:cs="Calibri"/>
                <w:b/>
                <w:bCs/>
                <w:color w:val="000000"/>
                <w:sz w:val="23"/>
                <w:szCs w:val="23"/>
              </w:rPr>
              <w:t>Health Stability Bundle</w:t>
            </w:r>
          </w:p>
        </w:tc>
      </w:tr>
      <w:tr w:rsidR="007A1058" w:rsidRPr="006644D7" w14:paraId="57876783" w14:textId="77777777" w:rsidTr="007A1058">
        <w:trPr>
          <w:trHeight w:val="1700"/>
          <w:jc w:val="center"/>
        </w:trPr>
        <w:tc>
          <w:tcPr>
            <w:tcW w:w="2780" w:type="dxa"/>
            <w:tcBorders>
              <w:top w:val="nil"/>
              <w:left w:val="single" w:sz="4" w:space="0" w:color="auto"/>
              <w:bottom w:val="nil"/>
              <w:right w:val="single" w:sz="4" w:space="0" w:color="auto"/>
            </w:tcBorders>
            <w:shd w:val="clear" w:color="auto" w:fill="auto"/>
            <w:vAlign w:val="center"/>
            <w:hideMark/>
          </w:tcPr>
          <w:p w14:paraId="44A23E0F" w14:textId="29EE461A" w:rsidR="007A1058" w:rsidRPr="006644D7" w:rsidRDefault="007A1058" w:rsidP="00872371">
            <w:pPr>
              <w:rPr>
                <w:rFonts w:ascii="Calibri" w:hAnsi="Calibri" w:cs="Calibri"/>
                <w:color w:val="000000"/>
                <w:sz w:val="23"/>
                <w:szCs w:val="23"/>
              </w:rPr>
            </w:pPr>
            <w:r w:rsidRPr="006644D7">
              <w:rPr>
                <w:rFonts w:ascii="Calibri" w:hAnsi="Calibri" w:cs="Calibri"/>
                <w:i/>
                <w:iCs/>
                <w:color w:val="000000"/>
                <w:sz w:val="23"/>
                <w:szCs w:val="23"/>
              </w:rPr>
              <w:t>Value Pathway:</w:t>
            </w:r>
            <w:r w:rsidRPr="006644D7">
              <w:rPr>
                <w:rFonts w:ascii="Calibri" w:hAnsi="Calibri" w:cs="Calibri"/>
                <w:color w:val="000000"/>
                <w:sz w:val="23"/>
                <w:szCs w:val="23"/>
              </w:rPr>
              <w:t xml:space="preserve"> Transition a portion of population into non-certified settings</w:t>
            </w:r>
            <w:r w:rsidR="002B4AD9">
              <w:rPr>
                <w:rFonts w:ascii="Calibri" w:hAnsi="Calibri" w:cs="Calibri"/>
                <w:color w:val="000000"/>
                <w:sz w:val="23"/>
                <w:szCs w:val="23"/>
              </w:rPr>
              <w:t>; retain youth in community longer</w:t>
            </w:r>
          </w:p>
        </w:tc>
        <w:tc>
          <w:tcPr>
            <w:tcW w:w="2780" w:type="dxa"/>
            <w:tcBorders>
              <w:top w:val="nil"/>
              <w:left w:val="nil"/>
              <w:bottom w:val="nil"/>
              <w:right w:val="single" w:sz="4" w:space="0" w:color="auto"/>
            </w:tcBorders>
            <w:shd w:val="clear" w:color="auto" w:fill="auto"/>
            <w:vAlign w:val="center"/>
            <w:hideMark/>
          </w:tcPr>
          <w:p w14:paraId="1F33A7D5" w14:textId="77777777" w:rsidR="007A1058" w:rsidRPr="006644D7" w:rsidRDefault="007A1058" w:rsidP="00872371">
            <w:pPr>
              <w:rPr>
                <w:rFonts w:ascii="Calibri" w:hAnsi="Calibri" w:cs="Calibri"/>
                <w:color w:val="000000"/>
                <w:sz w:val="23"/>
                <w:szCs w:val="23"/>
              </w:rPr>
            </w:pPr>
            <w:r w:rsidRPr="006644D7">
              <w:rPr>
                <w:rFonts w:ascii="Calibri" w:hAnsi="Calibri" w:cs="Calibri"/>
                <w:i/>
                <w:iCs/>
                <w:color w:val="000000"/>
                <w:sz w:val="23"/>
                <w:szCs w:val="23"/>
              </w:rPr>
              <w:t>Value Pathway:</w:t>
            </w:r>
            <w:r w:rsidRPr="006644D7">
              <w:rPr>
                <w:rFonts w:ascii="Calibri" w:hAnsi="Calibri" w:cs="Calibri"/>
                <w:color w:val="000000"/>
                <w:sz w:val="23"/>
                <w:szCs w:val="23"/>
              </w:rPr>
              <w:t xml:space="preserve"> Developing innovative initiatives with employers and other private entities</w:t>
            </w:r>
          </w:p>
        </w:tc>
        <w:tc>
          <w:tcPr>
            <w:tcW w:w="2780" w:type="dxa"/>
            <w:tcBorders>
              <w:top w:val="nil"/>
              <w:left w:val="nil"/>
              <w:bottom w:val="nil"/>
              <w:right w:val="single" w:sz="4" w:space="0" w:color="auto"/>
            </w:tcBorders>
            <w:shd w:val="clear" w:color="auto" w:fill="auto"/>
            <w:vAlign w:val="center"/>
            <w:hideMark/>
          </w:tcPr>
          <w:p w14:paraId="1BBA5CD0" w14:textId="77777777" w:rsidR="007A1058" w:rsidRPr="006644D7" w:rsidRDefault="007A1058" w:rsidP="00872371">
            <w:pPr>
              <w:rPr>
                <w:rFonts w:ascii="Calibri" w:hAnsi="Calibri" w:cs="Calibri"/>
                <w:color w:val="000000"/>
                <w:sz w:val="23"/>
                <w:szCs w:val="23"/>
              </w:rPr>
            </w:pPr>
            <w:r w:rsidRPr="006644D7">
              <w:rPr>
                <w:rFonts w:ascii="Calibri" w:hAnsi="Calibri" w:cs="Calibri"/>
                <w:i/>
                <w:iCs/>
                <w:color w:val="000000"/>
                <w:sz w:val="23"/>
                <w:szCs w:val="23"/>
              </w:rPr>
              <w:t>Value Pathway:</w:t>
            </w:r>
            <w:r w:rsidRPr="006644D7">
              <w:rPr>
                <w:rFonts w:ascii="Calibri" w:hAnsi="Calibri" w:cs="Calibri"/>
                <w:color w:val="000000"/>
                <w:sz w:val="23"/>
                <w:szCs w:val="23"/>
              </w:rPr>
              <w:t xml:space="preserve"> Preventing / managing avoidable acute events and returning people to community</w:t>
            </w:r>
          </w:p>
        </w:tc>
      </w:tr>
      <w:tr w:rsidR="007A1058" w:rsidRPr="006644D7" w14:paraId="31F9538C" w14:textId="77777777" w:rsidTr="009D7F9B">
        <w:trPr>
          <w:trHeight w:val="2817"/>
          <w:jc w:val="center"/>
        </w:trPr>
        <w:tc>
          <w:tcPr>
            <w:tcW w:w="2780" w:type="dxa"/>
            <w:tcBorders>
              <w:top w:val="nil"/>
              <w:left w:val="single" w:sz="4" w:space="0" w:color="auto"/>
              <w:bottom w:val="single" w:sz="4" w:space="0" w:color="auto"/>
              <w:right w:val="single" w:sz="4" w:space="0" w:color="auto"/>
            </w:tcBorders>
            <w:shd w:val="clear" w:color="auto" w:fill="auto"/>
            <w:hideMark/>
          </w:tcPr>
          <w:p w14:paraId="009ADF2A" w14:textId="1A29A213" w:rsidR="007A1058" w:rsidRPr="006644D7" w:rsidRDefault="002E7126" w:rsidP="00872371">
            <w:pPr>
              <w:rPr>
                <w:rFonts w:ascii="Calibri" w:hAnsi="Calibri" w:cs="Calibri"/>
                <w:color w:val="000000"/>
                <w:sz w:val="23"/>
                <w:szCs w:val="23"/>
              </w:rPr>
            </w:pPr>
            <w:r w:rsidRPr="006644D7">
              <w:rPr>
                <w:rFonts w:ascii="Calibri" w:hAnsi="Calibri" w:cs="Calibri"/>
                <w:i/>
                <w:iCs/>
                <w:color w:val="000000"/>
                <w:sz w:val="23"/>
                <w:szCs w:val="23"/>
              </w:rPr>
              <w:t>Could include</w:t>
            </w:r>
            <w:r w:rsidR="007A1058" w:rsidRPr="006644D7">
              <w:rPr>
                <w:rFonts w:ascii="Calibri" w:hAnsi="Calibri" w:cs="Calibri"/>
                <w:i/>
                <w:iCs/>
                <w:color w:val="000000"/>
                <w:sz w:val="23"/>
                <w:szCs w:val="23"/>
              </w:rPr>
              <w:t>:</w:t>
            </w:r>
            <w:r w:rsidR="007A1058" w:rsidRPr="006644D7">
              <w:rPr>
                <w:rFonts w:ascii="Calibri" w:hAnsi="Calibri" w:cs="Calibri"/>
                <w:color w:val="000000"/>
                <w:sz w:val="23"/>
                <w:szCs w:val="23"/>
              </w:rPr>
              <w:br/>
              <w:t xml:space="preserve"> - Individual Residential Alternatives (IRAs)</w:t>
            </w:r>
            <w:r w:rsidR="007A1058" w:rsidRPr="006644D7">
              <w:rPr>
                <w:rFonts w:ascii="Calibri" w:hAnsi="Calibri" w:cs="Calibri"/>
                <w:color w:val="000000"/>
                <w:sz w:val="23"/>
                <w:szCs w:val="23"/>
              </w:rPr>
              <w:br/>
              <w:t xml:space="preserve"> - Community Transition Services</w:t>
            </w:r>
            <w:r w:rsidR="007A1058" w:rsidRPr="006644D7">
              <w:rPr>
                <w:rFonts w:ascii="Calibri" w:hAnsi="Calibri" w:cs="Calibri"/>
                <w:color w:val="000000"/>
                <w:sz w:val="23"/>
                <w:szCs w:val="23"/>
              </w:rPr>
              <w:br/>
              <w:t xml:space="preserve"> - Live-in Caregiver</w:t>
            </w:r>
            <w:r w:rsidR="007A1058" w:rsidRPr="006644D7">
              <w:rPr>
                <w:rFonts w:ascii="Calibri" w:hAnsi="Calibri" w:cs="Calibri"/>
                <w:color w:val="000000"/>
                <w:sz w:val="23"/>
                <w:szCs w:val="23"/>
              </w:rPr>
              <w:br/>
              <w:t xml:space="preserve"> - Family Support Services</w:t>
            </w:r>
            <w:r w:rsidR="007A1058" w:rsidRPr="006644D7">
              <w:rPr>
                <w:rFonts w:ascii="Calibri" w:hAnsi="Calibri" w:cs="Calibri"/>
                <w:color w:val="000000"/>
                <w:sz w:val="23"/>
                <w:szCs w:val="23"/>
              </w:rPr>
              <w:br/>
              <w:t xml:space="preserve"> - Community Habilitation</w:t>
            </w:r>
          </w:p>
        </w:tc>
        <w:tc>
          <w:tcPr>
            <w:tcW w:w="2780" w:type="dxa"/>
            <w:tcBorders>
              <w:top w:val="nil"/>
              <w:left w:val="nil"/>
              <w:bottom w:val="single" w:sz="4" w:space="0" w:color="auto"/>
              <w:right w:val="single" w:sz="4" w:space="0" w:color="auto"/>
            </w:tcBorders>
            <w:shd w:val="clear" w:color="auto" w:fill="auto"/>
            <w:hideMark/>
          </w:tcPr>
          <w:p w14:paraId="2136CC02" w14:textId="77777777" w:rsidR="007A1058" w:rsidRPr="006644D7" w:rsidRDefault="002E7126" w:rsidP="00872371">
            <w:pPr>
              <w:rPr>
                <w:rFonts w:ascii="Calibri" w:hAnsi="Calibri" w:cs="Calibri"/>
                <w:color w:val="000000"/>
                <w:sz w:val="23"/>
                <w:szCs w:val="23"/>
              </w:rPr>
            </w:pPr>
            <w:r w:rsidRPr="006644D7">
              <w:rPr>
                <w:rFonts w:ascii="Calibri" w:hAnsi="Calibri" w:cs="Calibri"/>
                <w:i/>
                <w:iCs/>
                <w:color w:val="000000"/>
                <w:sz w:val="23"/>
                <w:szCs w:val="23"/>
              </w:rPr>
              <w:t>Could include</w:t>
            </w:r>
            <w:r w:rsidR="007A1058" w:rsidRPr="006644D7">
              <w:rPr>
                <w:rFonts w:ascii="Calibri" w:hAnsi="Calibri" w:cs="Calibri"/>
                <w:i/>
                <w:iCs/>
                <w:color w:val="000000"/>
                <w:sz w:val="23"/>
                <w:szCs w:val="23"/>
              </w:rPr>
              <w:t xml:space="preserve">: </w:t>
            </w:r>
            <w:r w:rsidR="007A1058" w:rsidRPr="006644D7">
              <w:rPr>
                <w:rFonts w:ascii="Calibri" w:hAnsi="Calibri" w:cs="Calibri"/>
                <w:color w:val="000000"/>
                <w:sz w:val="23"/>
                <w:szCs w:val="23"/>
              </w:rPr>
              <w:br/>
              <w:t xml:space="preserve"> - Day Habilitation</w:t>
            </w:r>
            <w:r w:rsidR="007A1058" w:rsidRPr="006644D7">
              <w:rPr>
                <w:rFonts w:ascii="Calibri" w:hAnsi="Calibri" w:cs="Calibri"/>
                <w:color w:val="000000"/>
                <w:sz w:val="23"/>
                <w:szCs w:val="23"/>
              </w:rPr>
              <w:br/>
              <w:t xml:space="preserve"> - Pathway to Employment</w:t>
            </w:r>
            <w:r w:rsidR="007A1058" w:rsidRPr="006644D7">
              <w:rPr>
                <w:rFonts w:ascii="Calibri" w:hAnsi="Calibri" w:cs="Calibri"/>
                <w:color w:val="000000"/>
                <w:sz w:val="23"/>
                <w:szCs w:val="23"/>
              </w:rPr>
              <w:br/>
              <w:t xml:space="preserve"> - Prevocational Services</w:t>
            </w:r>
            <w:r w:rsidR="007A1058" w:rsidRPr="006644D7">
              <w:rPr>
                <w:rFonts w:ascii="Calibri" w:hAnsi="Calibri" w:cs="Calibri"/>
                <w:color w:val="000000"/>
                <w:sz w:val="23"/>
                <w:szCs w:val="23"/>
              </w:rPr>
              <w:br/>
              <w:t xml:space="preserve"> - Supportive Employment</w:t>
            </w:r>
          </w:p>
          <w:p w14:paraId="5070082D" w14:textId="4BF8D7AD" w:rsidR="0096231A" w:rsidRPr="006644D7" w:rsidRDefault="0096231A" w:rsidP="00872371">
            <w:pPr>
              <w:rPr>
                <w:rFonts w:ascii="Calibri" w:hAnsi="Calibri" w:cs="Calibri"/>
                <w:color w:val="000000"/>
                <w:sz w:val="23"/>
                <w:szCs w:val="23"/>
              </w:rPr>
            </w:pPr>
            <w:r w:rsidRPr="006644D7">
              <w:rPr>
                <w:rFonts w:ascii="Calibri" w:hAnsi="Calibri" w:cs="Calibri"/>
                <w:color w:val="000000"/>
                <w:sz w:val="23"/>
                <w:szCs w:val="23"/>
              </w:rPr>
              <w:t>- Respite</w:t>
            </w:r>
          </w:p>
        </w:tc>
        <w:tc>
          <w:tcPr>
            <w:tcW w:w="2780" w:type="dxa"/>
            <w:tcBorders>
              <w:top w:val="nil"/>
              <w:left w:val="nil"/>
              <w:bottom w:val="single" w:sz="4" w:space="0" w:color="auto"/>
              <w:right w:val="single" w:sz="4" w:space="0" w:color="auto"/>
            </w:tcBorders>
            <w:shd w:val="clear" w:color="auto" w:fill="auto"/>
            <w:hideMark/>
          </w:tcPr>
          <w:p w14:paraId="74F68FD8" w14:textId="0490DB53" w:rsidR="007A1058" w:rsidRPr="006644D7" w:rsidRDefault="002E7126" w:rsidP="00872371">
            <w:pPr>
              <w:rPr>
                <w:rFonts w:ascii="Calibri" w:hAnsi="Calibri" w:cs="Calibri"/>
                <w:color w:val="000000"/>
                <w:sz w:val="23"/>
                <w:szCs w:val="23"/>
              </w:rPr>
            </w:pPr>
            <w:r w:rsidRPr="006644D7">
              <w:rPr>
                <w:rFonts w:ascii="Calibri" w:hAnsi="Calibri" w:cs="Calibri"/>
                <w:i/>
                <w:iCs/>
                <w:color w:val="000000"/>
                <w:sz w:val="23"/>
                <w:szCs w:val="23"/>
              </w:rPr>
              <w:t>Could include</w:t>
            </w:r>
            <w:r w:rsidR="007A1058" w:rsidRPr="006644D7">
              <w:rPr>
                <w:rFonts w:ascii="Calibri" w:hAnsi="Calibri" w:cs="Calibri"/>
                <w:i/>
                <w:iCs/>
                <w:color w:val="000000"/>
                <w:sz w:val="23"/>
                <w:szCs w:val="23"/>
              </w:rPr>
              <w:t>:</w:t>
            </w:r>
            <w:r w:rsidR="0096231A" w:rsidRPr="006644D7">
              <w:rPr>
                <w:rFonts w:ascii="Calibri" w:hAnsi="Calibri" w:cs="Calibri"/>
                <w:color w:val="000000"/>
                <w:sz w:val="23"/>
                <w:szCs w:val="23"/>
              </w:rPr>
              <w:br/>
              <w:t xml:space="preserve"> - Intensive behavioral health</w:t>
            </w:r>
            <w:r w:rsidR="0096231A" w:rsidRPr="006644D7">
              <w:rPr>
                <w:rFonts w:ascii="Calibri" w:hAnsi="Calibri" w:cs="Calibri"/>
                <w:color w:val="000000"/>
                <w:sz w:val="23"/>
                <w:szCs w:val="23"/>
              </w:rPr>
              <w:br/>
              <w:t xml:space="preserve"> - T</w:t>
            </w:r>
            <w:r w:rsidR="007A1058" w:rsidRPr="006644D7">
              <w:rPr>
                <w:rFonts w:ascii="Calibri" w:hAnsi="Calibri" w:cs="Calibri"/>
                <w:color w:val="000000"/>
                <w:sz w:val="23"/>
                <w:szCs w:val="23"/>
              </w:rPr>
              <w:t>elehealth</w:t>
            </w:r>
            <w:r w:rsidR="00872371" w:rsidRPr="006644D7">
              <w:rPr>
                <w:rFonts w:ascii="Calibri" w:hAnsi="Calibri" w:cs="Calibri"/>
                <w:color w:val="000000"/>
                <w:sz w:val="23"/>
                <w:szCs w:val="23"/>
              </w:rPr>
              <w:t xml:space="preserve"> </w:t>
            </w:r>
            <w:r w:rsidR="007A1058" w:rsidRPr="006644D7">
              <w:rPr>
                <w:rFonts w:ascii="Calibri" w:hAnsi="Calibri" w:cs="Calibri"/>
                <w:color w:val="000000"/>
                <w:sz w:val="23"/>
                <w:szCs w:val="23"/>
              </w:rPr>
              <w:t>/</w:t>
            </w:r>
            <w:r w:rsidR="00872371" w:rsidRPr="006644D7">
              <w:rPr>
                <w:rFonts w:ascii="Calibri" w:hAnsi="Calibri" w:cs="Calibri"/>
                <w:color w:val="000000"/>
                <w:sz w:val="23"/>
                <w:szCs w:val="23"/>
              </w:rPr>
              <w:t xml:space="preserve"> </w:t>
            </w:r>
            <w:r w:rsidR="0096231A" w:rsidRPr="006644D7">
              <w:rPr>
                <w:rFonts w:ascii="Calibri" w:hAnsi="Calibri" w:cs="Calibri"/>
                <w:color w:val="000000"/>
                <w:sz w:val="23"/>
                <w:szCs w:val="23"/>
              </w:rPr>
              <w:t xml:space="preserve">telemonitoring </w:t>
            </w:r>
            <w:r w:rsidR="0096231A" w:rsidRPr="006644D7">
              <w:rPr>
                <w:rFonts w:ascii="Calibri" w:hAnsi="Calibri" w:cs="Calibri"/>
                <w:color w:val="000000"/>
                <w:sz w:val="23"/>
                <w:szCs w:val="23"/>
              </w:rPr>
              <w:br/>
              <w:t xml:space="preserve"> - Modifications </w:t>
            </w:r>
            <w:r w:rsidR="0096231A" w:rsidRPr="006644D7">
              <w:rPr>
                <w:rFonts w:ascii="Calibri" w:hAnsi="Calibri" w:cs="Calibri"/>
                <w:color w:val="000000"/>
                <w:sz w:val="23"/>
                <w:szCs w:val="23"/>
              </w:rPr>
              <w:br/>
              <w:t xml:space="preserve"> - Family support and education</w:t>
            </w:r>
            <w:r w:rsidR="0096231A" w:rsidRPr="006644D7">
              <w:rPr>
                <w:rFonts w:ascii="Calibri" w:hAnsi="Calibri" w:cs="Calibri"/>
                <w:color w:val="000000"/>
                <w:sz w:val="23"/>
                <w:szCs w:val="23"/>
              </w:rPr>
              <w:br/>
              <w:t xml:space="preserve"> - S</w:t>
            </w:r>
            <w:r w:rsidR="007A1058" w:rsidRPr="006644D7">
              <w:rPr>
                <w:rFonts w:ascii="Calibri" w:hAnsi="Calibri" w:cs="Calibri"/>
                <w:color w:val="000000"/>
                <w:sz w:val="23"/>
                <w:szCs w:val="23"/>
              </w:rPr>
              <w:t>pecialized acute stabilization services</w:t>
            </w:r>
          </w:p>
        </w:tc>
      </w:tr>
    </w:tbl>
    <w:p w14:paraId="585198AE" w14:textId="77777777" w:rsidR="007A1058" w:rsidRPr="006644D7" w:rsidRDefault="007A1058" w:rsidP="00872371">
      <w:pPr>
        <w:jc w:val="center"/>
        <w:rPr>
          <w:rFonts w:ascii="Calibri" w:hAnsi="Calibri" w:cs="Calibri"/>
          <w:sz w:val="23"/>
          <w:szCs w:val="23"/>
        </w:rPr>
      </w:pPr>
    </w:p>
    <w:p w14:paraId="20666EA6" w14:textId="5E3AA415" w:rsidR="00C5317A" w:rsidRPr="006644D7" w:rsidRDefault="00C5317A" w:rsidP="00872371">
      <w:pPr>
        <w:pStyle w:val="ListParagraph"/>
        <w:numPr>
          <w:ilvl w:val="0"/>
          <w:numId w:val="7"/>
        </w:numPr>
        <w:rPr>
          <w:rFonts w:ascii="Calibri" w:hAnsi="Calibri" w:cs="Calibri"/>
          <w:b/>
          <w:sz w:val="23"/>
          <w:szCs w:val="23"/>
        </w:rPr>
      </w:pPr>
      <w:r w:rsidRPr="006644D7">
        <w:rPr>
          <w:rFonts w:ascii="Calibri" w:hAnsi="Calibri" w:cs="Calibri"/>
          <w:b/>
          <w:sz w:val="23"/>
          <w:szCs w:val="23"/>
        </w:rPr>
        <w:t xml:space="preserve">Promote a Centers of Excellence model </w:t>
      </w:r>
      <w:r w:rsidR="0064760F" w:rsidRPr="006644D7">
        <w:rPr>
          <w:rFonts w:ascii="Calibri" w:hAnsi="Calibri" w:cs="Calibri"/>
          <w:b/>
          <w:sz w:val="23"/>
          <w:szCs w:val="23"/>
        </w:rPr>
        <w:t>and allow</w:t>
      </w:r>
      <w:r w:rsidRPr="006644D7">
        <w:rPr>
          <w:rFonts w:ascii="Calibri" w:hAnsi="Calibri" w:cs="Calibri"/>
          <w:b/>
          <w:sz w:val="23"/>
          <w:szCs w:val="23"/>
        </w:rPr>
        <w:t xml:space="preserve"> service flexibility</w:t>
      </w:r>
    </w:p>
    <w:p w14:paraId="4E715A90" w14:textId="51D47EA7" w:rsidR="003E57C8" w:rsidRPr="006644D7" w:rsidRDefault="003E57C8" w:rsidP="00C5317A">
      <w:pPr>
        <w:pStyle w:val="ListParagraph"/>
        <w:rPr>
          <w:rFonts w:ascii="Calibri" w:hAnsi="Calibri" w:cs="Calibri"/>
          <w:sz w:val="23"/>
          <w:szCs w:val="23"/>
        </w:rPr>
      </w:pPr>
      <w:r w:rsidRPr="006644D7">
        <w:rPr>
          <w:rFonts w:ascii="Calibri" w:hAnsi="Calibri" w:cs="Calibri"/>
          <w:sz w:val="23"/>
          <w:szCs w:val="23"/>
        </w:rPr>
        <w:t xml:space="preserve">Services for individuals with I/DD in Region 1 are currently replicated across many providers. This distribution partly reflects geography, variety of services, and the need for consumer choice. However, some providers deliver specific services because rates for other certain services do not cover costs. </w:t>
      </w:r>
      <w:r w:rsidR="00714CD1">
        <w:rPr>
          <w:rFonts w:ascii="Calibri" w:hAnsi="Calibri" w:cs="Calibri"/>
          <w:sz w:val="23"/>
          <w:szCs w:val="23"/>
        </w:rPr>
        <w:t xml:space="preserve">Providers could cross-contract with each other and gauge </w:t>
      </w:r>
      <w:r w:rsidR="00714CD1">
        <w:rPr>
          <w:rFonts w:ascii="Calibri" w:hAnsi="Calibri" w:cs="Calibri"/>
          <w:sz w:val="23"/>
          <w:szCs w:val="23"/>
        </w:rPr>
        <w:lastRenderedPageBreak/>
        <w:t xml:space="preserve">success against </w:t>
      </w:r>
      <w:proofErr w:type="gramStart"/>
      <w:r w:rsidR="00714CD1">
        <w:rPr>
          <w:rFonts w:ascii="Calibri" w:hAnsi="Calibri" w:cs="Calibri"/>
          <w:sz w:val="23"/>
          <w:szCs w:val="23"/>
        </w:rPr>
        <w:t>value based</w:t>
      </w:r>
      <w:proofErr w:type="gramEnd"/>
      <w:r w:rsidR="00714CD1">
        <w:rPr>
          <w:rFonts w:ascii="Calibri" w:hAnsi="Calibri" w:cs="Calibri"/>
          <w:sz w:val="23"/>
          <w:szCs w:val="23"/>
        </w:rPr>
        <w:t xml:space="preserve"> measure sets. </w:t>
      </w:r>
      <w:r w:rsidRPr="006644D7">
        <w:rPr>
          <w:rFonts w:ascii="Calibri" w:hAnsi="Calibri" w:cs="Calibri"/>
          <w:sz w:val="23"/>
          <w:szCs w:val="23"/>
        </w:rPr>
        <w:t>With the</w:t>
      </w:r>
      <w:r w:rsidR="00C91735" w:rsidRPr="006644D7">
        <w:rPr>
          <w:rFonts w:ascii="Calibri" w:hAnsi="Calibri" w:cs="Calibri"/>
          <w:sz w:val="23"/>
          <w:szCs w:val="23"/>
        </w:rPr>
        <w:t xml:space="preserve"> introduction of bundles</w:t>
      </w:r>
      <w:r w:rsidRPr="006644D7">
        <w:rPr>
          <w:rFonts w:ascii="Calibri" w:hAnsi="Calibri" w:cs="Calibri"/>
          <w:sz w:val="23"/>
          <w:szCs w:val="23"/>
        </w:rPr>
        <w:t xml:space="preserve"> noted above, OPWDD should also allow providers to work collaboratively in teams and specialize in the delivery of specific types of services. </w:t>
      </w:r>
      <w:r w:rsidR="00AA3303">
        <w:rPr>
          <w:rFonts w:ascii="Calibri" w:hAnsi="Calibri" w:cs="Calibri"/>
          <w:sz w:val="23"/>
          <w:szCs w:val="23"/>
        </w:rPr>
        <w:t>While such activity will disrupt the status quo, m</w:t>
      </w:r>
      <w:r w:rsidR="00C91735" w:rsidRPr="006644D7">
        <w:rPr>
          <w:rFonts w:ascii="Calibri" w:hAnsi="Calibri" w:cs="Calibri"/>
          <w:sz w:val="23"/>
          <w:szCs w:val="23"/>
        </w:rPr>
        <w:t xml:space="preserve">ore flexible service delivery would promote </w:t>
      </w:r>
      <w:r w:rsidR="00AA3303">
        <w:rPr>
          <w:rFonts w:ascii="Calibri" w:hAnsi="Calibri" w:cs="Calibri"/>
          <w:sz w:val="23"/>
          <w:szCs w:val="23"/>
        </w:rPr>
        <w:t>innovations in service delivery and payment structuring.</w:t>
      </w:r>
      <w:r w:rsidRPr="006644D7">
        <w:rPr>
          <w:rFonts w:ascii="Calibri" w:hAnsi="Calibri" w:cs="Calibri"/>
          <w:sz w:val="23"/>
          <w:szCs w:val="23"/>
        </w:rPr>
        <w:t xml:space="preserve"> </w:t>
      </w:r>
    </w:p>
    <w:p w14:paraId="17A6A3D8" w14:textId="77777777" w:rsidR="0064760F" w:rsidRPr="009B2659" w:rsidRDefault="0064760F" w:rsidP="003E57C8">
      <w:pPr>
        <w:rPr>
          <w:rFonts w:ascii="Calibri" w:hAnsi="Calibri" w:cs="Calibri"/>
          <w:sz w:val="16"/>
          <w:szCs w:val="16"/>
        </w:rPr>
      </w:pPr>
    </w:p>
    <w:p w14:paraId="4D5B42F2" w14:textId="26E78583" w:rsidR="007A1058" w:rsidRPr="006644D7" w:rsidRDefault="008D0CF8" w:rsidP="00872371">
      <w:pPr>
        <w:pStyle w:val="ListParagraph"/>
        <w:numPr>
          <w:ilvl w:val="0"/>
          <w:numId w:val="7"/>
        </w:numPr>
        <w:rPr>
          <w:rFonts w:ascii="Calibri" w:hAnsi="Calibri" w:cs="Calibri"/>
          <w:b/>
          <w:sz w:val="23"/>
          <w:szCs w:val="23"/>
        </w:rPr>
      </w:pPr>
      <w:r>
        <w:rPr>
          <w:rFonts w:ascii="Calibri" w:hAnsi="Calibri" w:cs="Calibri"/>
          <w:b/>
          <w:sz w:val="23"/>
          <w:szCs w:val="23"/>
        </w:rPr>
        <w:t>T</w:t>
      </w:r>
      <w:r w:rsidR="00C5317A" w:rsidRPr="006644D7">
        <w:rPr>
          <w:rFonts w:ascii="Calibri" w:hAnsi="Calibri" w:cs="Calibri"/>
          <w:b/>
          <w:sz w:val="23"/>
          <w:szCs w:val="23"/>
        </w:rPr>
        <w:t xml:space="preserve">ransition </w:t>
      </w:r>
      <w:r>
        <w:rPr>
          <w:rFonts w:ascii="Calibri" w:hAnsi="Calibri" w:cs="Calibri"/>
          <w:b/>
          <w:sz w:val="23"/>
          <w:szCs w:val="23"/>
        </w:rPr>
        <w:t xml:space="preserve">some </w:t>
      </w:r>
      <w:r w:rsidR="00C5317A" w:rsidRPr="006644D7">
        <w:rPr>
          <w:rFonts w:ascii="Calibri" w:hAnsi="Calibri" w:cs="Calibri"/>
          <w:b/>
          <w:sz w:val="23"/>
          <w:szCs w:val="23"/>
        </w:rPr>
        <w:t>individuals on CRO list to non-certified settings</w:t>
      </w:r>
      <w:r>
        <w:rPr>
          <w:rFonts w:ascii="Calibri" w:hAnsi="Calibri" w:cs="Calibri"/>
          <w:b/>
          <w:sz w:val="23"/>
          <w:szCs w:val="23"/>
        </w:rPr>
        <w:t xml:space="preserve"> with safety net funding</w:t>
      </w:r>
    </w:p>
    <w:p w14:paraId="590DC3F6" w14:textId="5B02E3F5" w:rsidR="009D7F9B" w:rsidRPr="006644D7" w:rsidRDefault="00C5317A" w:rsidP="00C5317A">
      <w:pPr>
        <w:pStyle w:val="ListParagraph"/>
        <w:rPr>
          <w:rFonts w:ascii="Calibri" w:hAnsi="Calibri" w:cs="Calibri"/>
          <w:sz w:val="23"/>
          <w:szCs w:val="23"/>
        </w:rPr>
      </w:pPr>
      <w:r w:rsidRPr="006644D7">
        <w:rPr>
          <w:rFonts w:ascii="Calibri" w:hAnsi="Calibri" w:cs="Calibri"/>
          <w:sz w:val="23"/>
          <w:szCs w:val="23"/>
        </w:rPr>
        <w:t>Individuals with I/DD stagnate on DDRO waitlists</w:t>
      </w:r>
      <w:r w:rsidR="00103905" w:rsidRPr="006644D7">
        <w:rPr>
          <w:rFonts w:ascii="Calibri" w:hAnsi="Calibri" w:cs="Calibri"/>
          <w:sz w:val="23"/>
          <w:szCs w:val="23"/>
        </w:rPr>
        <w:t xml:space="preserve"> for years hoping for placement in an IRA. </w:t>
      </w:r>
      <w:r w:rsidR="004068B0">
        <w:rPr>
          <w:rFonts w:ascii="Calibri" w:hAnsi="Calibri" w:cs="Calibri"/>
          <w:sz w:val="23"/>
          <w:szCs w:val="23"/>
        </w:rPr>
        <w:t>A</w:t>
      </w:r>
      <w:r w:rsidR="00DA15DB" w:rsidRPr="006644D7">
        <w:rPr>
          <w:rFonts w:ascii="Calibri" w:hAnsi="Calibri" w:cs="Calibri"/>
          <w:sz w:val="23"/>
          <w:szCs w:val="23"/>
        </w:rPr>
        <w:t xml:space="preserve"> </w:t>
      </w:r>
      <w:r w:rsidR="006644D7">
        <w:rPr>
          <w:rFonts w:ascii="Calibri" w:hAnsi="Calibri" w:cs="Calibri"/>
          <w:sz w:val="23"/>
          <w:szCs w:val="23"/>
        </w:rPr>
        <w:t>percentage</w:t>
      </w:r>
      <w:r w:rsidR="00DA15DB" w:rsidRPr="006644D7">
        <w:rPr>
          <w:rFonts w:ascii="Calibri" w:hAnsi="Calibri" w:cs="Calibri"/>
          <w:sz w:val="23"/>
          <w:szCs w:val="23"/>
        </w:rPr>
        <w:t xml:space="preserve"> of these individuals could thrive in non-certified, community-based settings. Moreover, these individuals could (1) </w:t>
      </w:r>
      <w:r w:rsidR="008D0CF8">
        <w:rPr>
          <w:rFonts w:ascii="Calibri" w:hAnsi="Calibri" w:cs="Calibri"/>
          <w:sz w:val="23"/>
          <w:szCs w:val="23"/>
        </w:rPr>
        <w:t>be placed in the community immediately</w:t>
      </w:r>
      <w:r w:rsidR="00DA15DB" w:rsidRPr="006644D7">
        <w:rPr>
          <w:rFonts w:ascii="Calibri" w:hAnsi="Calibri" w:cs="Calibri"/>
          <w:sz w:val="23"/>
          <w:szCs w:val="23"/>
        </w:rPr>
        <w:t xml:space="preserve"> and (2) at </w:t>
      </w:r>
      <w:r w:rsidR="0064760F" w:rsidRPr="006644D7">
        <w:rPr>
          <w:rFonts w:ascii="Calibri" w:hAnsi="Calibri" w:cs="Calibri"/>
          <w:sz w:val="23"/>
          <w:szCs w:val="23"/>
        </w:rPr>
        <w:t xml:space="preserve">considerably </w:t>
      </w:r>
      <w:r w:rsidR="00DA15DB" w:rsidRPr="006644D7">
        <w:rPr>
          <w:rFonts w:ascii="Calibri" w:hAnsi="Calibri" w:cs="Calibri"/>
          <w:sz w:val="23"/>
          <w:szCs w:val="23"/>
        </w:rPr>
        <w:t xml:space="preserve">less expense than </w:t>
      </w:r>
      <w:r w:rsidR="0064760F" w:rsidRPr="006644D7">
        <w:rPr>
          <w:rFonts w:ascii="Calibri" w:hAnsi="Calibri" w:cs="Calibri"/>
          <w:sz w:val="23"/>
          <w:szCs w:val="23"/>
        </w:rPr>
        <w:t xml:space="preserve">an IRA placement. </w:t>
      </w:r>
      <w:r w:rsidR="009D7F9B" w:rsidRPr="006644D7">
        <w:rPr>
          <w:rFonts w:ascii="Calibri" w:hAnsi="Calibri" w:cs="Calibri"/>
          <w:sz w:val="23"/>
          <w:szCs w:val="23"/>
        </w:rPr>
        <w:t>OPWDD should view this challenge as an opportunity to spur residential innovation:</w:t>
      </w:r>
    </w:p>
    <w:p w14:paraId="18E9728B" w14:textId="3E91D03E" w:rsidR="009D7F9B" w:rsidRPr="006644D7" w:rsidRDefault="009D7F9B" w:rsidP="009D7F9B">
      <w:pPr>
        <w:pStyle w:val="ListParagraph"/>
        <w:numPr>
          <w:ilvl w:val="2"/>
          <w:numId w:val="7"/>
        </w:numPr>
        <w:ind w:left="1260"/>
        <w:rPr>
          <w:rFonts w:ascii="Calibri" w:hAnsi="Calibri" w:cs="Calibri"/>
          <w:sz w:val="23"/>
          <w:szCs w:val="23"/>
        </w:rPr>
      </w:pPr>
      <w:r w:rsidRPr="006644D7">
        <w:rPr>
          <w:rFonts w:ascii="Calibri" w:hAnsi="Calibri" w:cs="Calibri"/>
          <w:sz w:val="23"/>
          <w:szCs w:val="23"/>
        </w:rPr>
        <w:t>Impose a</w:t>
      </w:r>
      <w:r w:rsidR="008D0CF8">
        <w:rPr>
          <w:rFonts w:ascii="Calibri" w:hAnsi="Calibri" w:cs="Calibri"/>
          <w:sz w:val="23"/>
          <w:szCs w:val="23"/>
        </w:rPr>
        <w:t xml:space="preserve"> level of need </w:t>
      </w:r>
      <w:r w:rsidRPr="006644D7">
        <w:rPr>
          <w:rFonts w:ascii="Calibri" w:hAnsi="Calibri" w:cs="Calibri"/>
          <w:sz w:val="23"/>
          <w:szCs w:val="23"/>
        </w:rPr>
        <w:t>restriction on who from the CRO list can move into an IRA</w:t>
      </w:r>
      <w:r w:rsidR="004068B0">
        <w:rPr>
          <w:rFonts w:ascii="Calibri" w:hAnsi="Calibri" w:cs="Calibri"/>
          <w:sz w:val="23"/>
          <w:szCs w:val="23"/>
        </w:rPr>
        <w:t>.</w:t>
      </w:r>
    </w:p>
    <w:p w14:paraId="111F643C" w14:textId="77777777" w:rsidR="009D7F9B" w:rsidRPr="006644D7" w:rsidRDefault="009D7F9B" w:rsidP="009D7F9B">
      <w:pPr>
        <w:pStyle w:val="ListParagraph"/>
        <w:numPr>
          <w:ilvl w:val="2"/>
          <w:numId w:val="7"/>
        </w:numPr>
        <w:ind w:left="1260"/>
        <w:rPr>
          <w:rFonts w:ascii="Calibri" w:hAnsi="Calibri" w:cs="Calibri"/>
          <w:sz w:val="23"/>
          <w:szCs w:val="23"/>
        </w:rPr>
      </w:pPr>
      <w:r w:rsidRPr="006644D7">
        <w:rPr>
          <w:rFonts w:ascii="Calibri" w:hAnsi="Calibri" w:cs="Calibri"/>
          <w:sz w:val="23"/>
          <w:szCs w:val="23"/>
        </w:rPr>
        <w:t xml:space="preserve">Those on the CRO who do not qualify for an IRA should be immediately transitioned into the community. </w:t>
      </w:r>
    </w:p>
    <w:p w14:paraId="6DF0A142" w14:textId="5DFAA263" w:rsidR="009D7F9B" w:rsidRPr="006644D7" w:rsidRDefault="009D7F9B" w:rsidP="009D7F9B">
      <w:pPr>
        <w:pStyle w:val="ListParagraph"/>
        <w:numPr>
          <w:ilvl w:val="2"/>
          <w:numId w:val="7"/>
        </w:numPr>
        <w:ind w:left="1260"/>
        <w:rPr>
          <w:rFonts w:ascii="Calibri" w:hAnsi="Calibri" w:cs="Calibri"/>
          <w:sz w:val="23"/>
          <w:szCs w:val="23"/>
        </w:rPr>
      </w:pPr>
      <w:r w:rsidRPr="006644D7">
        <w:rPr>
          <w:rFonts w:ascii="Calibri" w:hAnsi="Calibri" w:cs="Calibri"/>
          <w:sz w:val="23"/>
          <w:szCs w:val="23"/>
        </w:rPr>
        <w:t>Each person moved into the community represents a long-term savings; they’re not in the more expensive IRA</w:t>
      </w:r>
      <w:r w:rsidR="004068B0">
        <w:rPr>
          <w:rFonts w:ascii="Calibri" w:hAnsi="Calibri" w:cs="Calibri"/>
          <w:sz w:val="23"/>
          <w:szCs w:val="23"/>
        </w:rPr>
        <w:t xml:space="preserve"> setting</w:t>
      </w:r>
      <w:r w:rsidRPr="006644D7">
        <w:rPr>
          <w:rFonts w:ascii="Calibri" w:hAnsi="Calibri" w:cs="Calibri"/>
          <w:sz w:val="23"/>
          <w:szCs w:val="23"/>
        </w:rPr>
        <w:t xml:space="preserve">. </w:t>
      </w:r>
    </w:p>
    <w:p w14:paraId="081FECE8" w14:textId="57CF76EB" w:rsidR="009D7F9B" w:rsidRPr="006644D7" w:rsidRDefault="009D7F9B" w:rsidP="009D7F9B">
      <w:pPr>
        <w:pStyle w:val="ListParagraph"/>
        <w:numPr>
          <w:ilvl w:val="2"/>
          <w:numId w:val="7"/>
        </w:numPr>
        <w:ind w:left="1260"/>
        <w:rPr>
          <w:rFonts w:ascii="Calibri" w:hAnsi="Calibri" w:cs="Calibri"/>
          <w:sz w:val="23"/>
          <w:szCs w:val="23"/>
        </w:rPr>
      </w:pPr>
      <w:r w:rsidRPr="006644D7">
        <w:rPr>
          <w:rFonts w:ascii="Calibri" w:hAnsi="Calibri" w:cs="Calibri"/>
          <w:sz w:val="23"/>
          <w:szCs w:val="23"/>
        </w:rPr>
        <w:t>If that savings is $100</w:t>
      </w:r>
      <w:r w:rsidR="00855569">
        <w:rPr>
          <w:rFonts w:ascii="Calibri" w:hAnsi="Calibri" w:cs="Calibri"/>
          <w:sz w:val="23"/>
          <w:szCs w:val="23"/>
        </w:rPr>
        <w:t xml:space="preserve"> (hypothetically)</w:t>
      </w:r>
      <w:r w:rsidRPr="006644D7">
        <w:rPr>
          <w:rFonts w:ascii="Calibri" w:hAnsi="Calibri" w:cs="Calibri"/>
          <w:sz w:val="23"/>
          <w:szCs w:val="23"/>
        </w:rPr>
        <w:t>, pay $40, in the form of one-time safety net funding, to the provider(s) overseeing the transition. The taxpayer retains a $60 savings.</w:t>
      </w:r>
    </w:p>
    <w:p w14:paraId="70724E98" w14:textId="77777777" w:rsidR="009D7F9B" w:rsidRPr="00714CD1" w:rsidRDefault="009D7F9B" w:rsidP="009D7F9B">
      <w:pPr>
        <w:pStyle w:val="ListParagraph"/>
        <w:rPr>
          <w:rFonts w:ascii="Calibri" w:hAnsi="Calibri" w:cs="Calibri"/>
          <w:sz w:val="16"/>
          <w:szCs w:val="16"/>
        </w:rPr>
      </w:pPr>
    </w:p>
    <w:p w14:paraId="70D0E4E1" w14:textId="33495B6C" w:rsidR="009D7F9B" w:rsidRPr="006644D7" w:rsidRDefault="009D7F9B" w:rsidP="009D7F9B">
      <w:pPr>
        <w:pStyle w:val="ListParagraph"/>
        <w:rPr>
          <w:rFonts w:ascii="Calibri" w:hAnsi="Calibri" w:cs="Calibri"/>
          <w:sz w:val="23"/>
          <w:szCs w:val="23"/>
        </w:rPr>
      </w:pPr>
      <w:r w:rsidRPr="006644D7">
        <w:rPr>
          <w:rFonts w:ascii="Calibri" w:hAnsi="Calibri" w:cs="Calibri"/>
          <w:sz w:val="23"/>
          <w:szCs w:val="23"/>
        </w:rPr>
        <w:t xml:space="preserve">Over time, a similar model could be used to transition a portion of the </w:t>
      </w:r>
      <w:r w:rsidRPr="008D0CF8">
        <w:rPr>
          <w:rFonts w:ascii="Calibri" w:hAnsi="Calibri" w:cs="Calibri"/>
          <w:i/>
          <w:sz w:val="23"/>
          <w:szCs w:val="23"/>
        </w:rPr>
        <w:t>existing</w:t>
      </w:r>
      <w:r w:rsidRPr="006644D7">
        <w:rPr>
          <w:rFonts w:ascii="Calibri" w:hAnsi="Calibri" w:cs="Calibri"/>
          <w:sz w:val="23"/>
          <w:szCs w:val="23"/>
        </w:rPr>
        <w:t xml:space="preserve"> IRA population into the community. Such an initiative would require substantial planning. Furthermore, OPWDD would have to invest time and money in outreach and education to individuals and families who currently believe IRAs are the best residential option for all individuals with I/DD.</w:t>
      </w:r>
    </w:p>
    <w:p w14:paraId="22314775" w14:textId="77777777" w:rsidR="007A1058" w:rsidRPr="00714CD1" w:rsidRDefault="007A1058" w:rsidP="00474FB4">
      <w:pPr>
        <w:rPr>
          <w:rFonts w:ascii="Calibri" w:hAnsi="Calibri" w:cs="Calibri"/>
          <w:sz w:val="16"/>
          <w:szCs w:val="16"/>
        </w:rPr>
      </w:pPr>
    </w:p>
    <w:p w14:paraId="76A67932" w14:textId="017FA564" w:rsidR="00C91735" w:rsidRPr="006644D7" w:rsidRDefault="009B2CB5" w:rsidP="009B2CB5">
      <w:pPr>
        <w:pStyle w:val="ListParagraph"/>
        <w:numPr>
          <w:ilvl w:val="0"/>
          <w:numId w:val="7"/>
        </w:numPr>
        <w:rPr>
          <w:rFonts w:ascii="Calibri" w:hAnsi="Calibri" w:cs="Calibri"/>
          <w:b/>
          <w:sz w:val="23"/>
          <w:szCs w:val="23"/>
        </w:rPr>
      </w:pPr>
      <w:r w:rsidRPr="006644D7">
        <w:rPr>
          <w:rFonts w:ascii="Calibri" w:hAnsi="Calibri" w:cs="Calibri"/>
          <w:b/>
          <w:sz w:val="23"/>
          <w:szCs w:val="23"/>
        </w:rPr>
        <w:t>Explore areas of administrative and regulatory flexibility</w:t>
      </w:r>
    </w:p>
    <w:p w14:paraId="7E28C829" w14:textId="49155C30" w:rsidR="003C3EA5" w:rsidRPr="006644D7" w:rsidRDefault="009B2CB5" w:rsidP="009B2CB5">
      <w:pPr>
        <w:pStyle w:val="ListParagraph"/>
        <w:rPr>
          <w:rFonts w:ascii="Calibri" w:hAnsi="Calibri" w:cs="Calibri"/>
          <w:sz w:val="23"/>
          <w:szCs w:val="23"/>
        </w:rPr>
      </w:pPr>
      <w:r w:rsidRPr="006644D7">
        <w:rPr>
          <w:rFonts w:ascii="Calibri" w:hAnsi="Calibri" w:cs="Calibri"/>
          <w:sz w:val="23"/>
          <w:szCs w:val="23"/>
        </w:rPr>
        <w:t xml:space="preserve">DDAWNY Member Agencies appreciate that OPWDD is a state agency that must adhere to laws and regulations established by the legislature and interpreted by the courts. However, certain regulations and guidelines have so burdened service delivery that only suboptimal care and excessive cost result. </w:t>
      </w:r>
      <w:r w:rsidR="003C3EA5" w:rsidRPr="006644D7">
        <w:rPr>
          <w:rFonts w:ascii="Calibri" w:hAnsi="Calibri" w:cs="Calibri"/>
          <w:sz w:val="23"/>
          <w:szCs w:val="23"/>
        </w:rPr>
        <w:t>Examples include: impediments t</w:t>
      </w:r>
      <w:r w:rsidR="009B277B" w:rsidRPr="006644D7">
        <w:rPr>
          <w:rFonts w:ascii="Calibri" w:hAnsi="Calibri" w:cs="Calibri"/>
          <w:sz w:val="23"/>
          <w:szCs w:val="23"/>
        </w:rPr>
        <w:t>o funding non-certified housing; duplicative</w:t>
      </w:r>
      <w:r w:rsidR="003C3EA5" w:rsidRPr="006644D7">
        <w:rPr>
          <w:rFonts w:ascii="Calibri" w:hAnsi="Calibri" w:cs="Calibri"/>
          <w:sz w:val="23"/>
          <w:szCs w:val="23"/>
        </w:rPr>
        <w:t xml:space="preserve"> </w:t>
      </w:r>
      <w:r w:rsidR="009B277B" w:rsidRPr="006644D7">
        <w:rPr>
          <w:rFonts w:ascii="Calibri" w:hAnsi="Calibri" w:cs="Calibri"/>
          <w:sz w:val="23"/>
          <w:szCs w:val="23"/>
        </w:rPr>
        <w:t xml:space="preserve">assessments, eligibility requirements, and documentation requirements; </w:t>
      </w:r>
      <w:r w:rsidR="00192229" w:rsidRPr="006644D7">
        <w:rPr>
          <w:rFonts w:ascii="Calibri" w:hAnsi="Calibri" w:cs="Calibri"/>
          <w:sz w:val="23"/>
          <w:szCs w:val="23"/>
        </w:rPr>
        <w:t xml:space="preserve">deficit-based approaches to quality of care determinations; </w:t>
      </w:r>
      <w:r w:rsidR="009B277B" w:rsidRPr="006644D7">
        <w:rPr>
          <w:rFonts w:ascii="Calibri" w:hAnsi="Calibri" w:cs="Calibri"/>
          <w:sz w:val="23"/>
          <w:szCs w:val="23"/>
        </w:rPr>
        <w:t>DSP evaluation requirements;</w:t>
      </w:r>
      <w:r w:rsidR="003C3EA5" w:rsidRPr="006644D7">
        <w:rPr>
          <w:rFonts w:ascii="Calibri" w:hAnsi="Calibri" w:cs="Calibri"/>
          <w:sz w:val="23"/>
          <w:szCs w:val="23"/>
        </w:rPr>
        <w:t xml:space="preserve"> etc. </w:t>
      </w:r>
    </w:p>
    <w:p w14:paraId="276729E7" w14:textId="77777777" w:rsidR="003C3EA5" w:rsidRPr="006644D7" w:rsidRDefault="003C3EA5" w:rsidP="009B2CB5">
      <w:pPr>
        <w:pStyle w:val="ListParagraph"/>
        <w:rPr>
          <w:rFonts w:ascii="Calibri" w:hAnsi="Calibri" w:cs="Calibri"/>
          <w:sz w:val="23"/>
          <w:szCs w:val="23"/>
        </w:rPr>
      </w:pPr>
    </w:p>
    <w:p w14:paraId="0CE9D43B" w14:textId="5DF48400" w:rsidR="009B2CB5" w:rsidRPr="006644D7" w:rsidRDefault="009B2CB5" w:rsidP="009B2CB5">
      <w:pPr>
        <w:pStyle w:val="ListParagraph"/>
        <w:rPr>
          <w:rFonts w:ascii="Calibri" w:hAnsi="Calibri" w:cs="Calibri"/>
          <w:sz w:val="23"/>
          <w:szCs w:val="23"/>
        </w:rPr>
      </w:pPr>
      <w:r w:rsidRPr="006644D7">
        <w:rPr>
          <w:rFonts w:ascii="Calibri" w:hAnsi="Calibri" w:cs="Calibri"/>
          <w:sz w:val="23"/>
          <w:szCs w:val="23"/>
        </w:rPr>
        <w:t>OPWDD, DOH, and DDAWNY Member Agencies</w:t>
      </w:r>
      <w:r w:rsidR="00723D0D" w:rsidRPr="006644D7">
        <w:rPr>
          <w:rFonts w:ascii="Calibri" w:hAnsi="Calibri" w:cs="Calibri"/>
          <w:sz w:val="23"/>
          <w:szCs w:val="23"/>
        </w:rPr>
        <w:t xml:space="preserve"> could form a collaborative working group</w:t>
      </w:r>
      <w:r w:rsidRPr="006644D7">
        <w:rPr>
          <w:rFonts w:ascii="Calibri" w:hAnsi="Calibri" w:cs="Calibri"/>
          <w:sz w:val="23"/>
          <w:szCs w:val="23"/>
        </w:rPr>
        <w:t xml:space="preserve"> to identify and address areas of potential regulatory and administrative reform within Title 14 Part 600. The </w:t>
      </w:r>
      <w:r w:rsidRPr="006644D7">
        <w:rPr>
          <w:rFonts w:ascii="Calibri" w:hAnsi="Calibri" w:cs="Calibri"/>
          <w:i/>
          <w:sz w:val="23"/>
          <w:szCs w:val="23"/>
        </w:rPr>
        <w:t>State Administrative Procedure Act</w:t>
      </w:r>
      <w:r w:rsidRPr="006644D7">
        <w:rPr>
          <w:rFonts w:ascii="Calibri" w:hAnsi="Calibri" w:cs="Calibri"/>
          <w:sz w:val="23"/>
          <w:szCs w:val="23"/>
        </w:rPr>
        <w:t xml:space="preserve"> – specifically Section 202-b, Regulatory Flexibility – may offer useful tools for this exercise. </w:t>
      </w:r>
    </w:p>
    <w:p w14:paraId="2B919103" w14:textId="77777777" w:rsidR="009B2CB5" w:rsidRPr="00714CD1" w:rsidRDefault="009B2CB5" w:rsidP="009B2CB5">
      <w:pPr>
        <w:pStyle w:val="ListParagraph"/>
        <w:rPr>
          <w:rFonts w:ascii="Calibri" w:hAnsi="Calibri" w:cs="Calibri"/>
          <w:sz w:val="16"/>
          <w:szCs w:val="16"/>
        </w:rPr>
      </w:pPr>
    </w:p>
    <w:p w14:paraId="413B1873" w14:textId="49436788" w:rsidR="009B2CB5" w:rsidRPr="006644D7" w:rsidRDefault="003C3EA5" w:rsidP="003C3EA5">
      <w:pPr>
        <w:pStyle w:val="ListParagraph"/>
        <w:numPr>
          <w:ilvl w:val="0"/>
          <w:numId w:val="2"/>
        </w:numPr>
        <w:ind w:left="720"/>
        <w:rPr>
          <w:rFonts w:ascii="Calibri" w:hAnsi="Calibri" w:cs="Calibri"/>
          <w:b/>
          <w:sz w:val="23"/>
          <w:szCs w:val="23"/>
        </w:rPr>
      </w:pPr>
      <w:r w:rsidRPr="006644D7">
        <w:rPr>
          <w:rFonts w:ascii="Calibri" w:hAnsi="Calibri" w:cs="Calibri"/>
          <w:b/>
          <w:sz w:val="23"/>
          <w:szCs w:val="23"/>
        </w:rPr>
        <w:t>Next steps</w:t>
      </w:r>
    </w:p>
    <w:p w14:paraId="578F1DC2" w14:textId="77777777" w:rsidR="007A1058" w:rsidRPr="006644D7" w:rsidRDefault="007A1058" w:rsidP="00474FB4">
      <w:pPr>
        <w:rPr>
          <w:rFonts w:ascii="Calibri" w:hAnsi="Calibri" w:cs="Calibri"/>
          <w:sz w:val="23"/>
          <w:szCs w:val="23"/>
        </w:rPr>
      </w:pPr>
    </w:p>
    <w:p w14:paraId="2875758B" w14:textId="7E492E91" w:rsidR="007A1058" w:rsidRPr="006644D7" w:rsidRDefault="003C3EA5" w:rsidP="00474FB4">
      <w:pPr>
        <w:rPr>
          <w:rFonts w:ascii="Calibri" w:hAnsi="Calibri" w:cs="Calibri"/>
          <w:sz w:val="23"/>
          <w:szCs w:val="23"/>
        </w:rPr>
      </w:pPr>
      <w:r w:rsidRPr="006644D7">
        <w:rPr>
          <w:rFonts w:ascii="Calibri" w:hAnsi="Calibri" w:cs="Calibri"/>
          <w:sz w:val="23"/>
          <w:szCs w:val="23"/>
        </w:rPr>
        <w:t xml:space="preserve">The transition of the I/DD population to managed care, and associated adoption of value-based contracting, should not require that CCOs form Article 44s. DDAWNY’s Member Agencies are ready to discuss with </w:t>
      </w:r>
      <w:proofErr w:type="gramStart"/>
      <w:r w:rsidRPr="006644D7">
        <w:rPr>
          <w:rFonts w:ascii="Calibri" w:hAnsi="Calibri" w:cs="Calibri"/>
          <w:sz w:val="23"/>
          <w:szCs w:val="23"/>
        </w:rPr>
        <w:t>you</w:t>
      </w:r>
      <w:proofErr w:type="gramEnd"/>
      <w:r w:rsidRPr="006644D7">
        <w:rPr>
          <w:rFonts w:ascii="Calibri" w:hAnsi="Calibri" w:cs="Calibri"/>
          <w:sz w:val="23"/>
          <w:szCs w:val="23"/>
        </w:rPr>
        <w:t xml:space="preserve"> alternative approaches to this transition, including the innovations outlined above. </w:t>
      </w:r>
      <w:r w:rsidR="00F012F8" w:rsidRPr="006644D7">
        <w:rPr>
          <w:rFonts w:ascii="Calibri" w:hAnsi="Calibri" w:cs="Calibri"/>
          <w:sz w:val="23"/>
          <w:szCs w:val="23"/>
        </w:rPr>
        <w:t>Please contact us at any time to begin the process.</w:t>
      </w:r>
    </w:p>
    <w:sectPr w:rsidR="007A1058" w:rsidRPr="006644D7" w:rsidSect="004A209E">
      <w:headerReference w:type="even"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7B0F" w14:textId="77777777" w:rsidR="0022619A" w:rsidRDefault="0022619A" w:rsidP="0051652E">
      <w:r>
        <w:separator/>
      </w:r>
    </w:p>
  </w:endnote>
  <w:endnote w:type="continuationSeparator" w:id="0">
    <w:p w14:paraId="7A3E9CE9" w14:textId="77777777" w:rsidR="0022619A" w:rsidRDefault="0022619A" w:rsidP="0051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374564"/>
      <w:docPartObj>
        <w:docPartGallery w:val="Page Numbers (Bottom of Page)"/>
        <w:docPartUnique/>
      </w:docPartObj>
    </w:sdtPr>
    <w:sdtEndPr>
      <w:rPr>
        <w:rStyle w:val="PageNumber"/>
      </w:rPr>
    </w:sdtEndPr>
    <w:sdtContent>
      <w:p w14:paraId="7877FEB8" w14:textId="2E32097C" w:rsidR="0051652E" w:rsidRDefault="0051652E" w:rsidP="00480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8920E" w14:textId="77777777" w:rsidR="0051652E" w:rsidRDefault="0051652E" w:rsidP="0051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176672"/>
      <w:docPartObj>
        <w:docPartGallery w:val="Page Numbers (Bottom of Page)"/>
        <w:docPartUnique/>
      </w:docPartObj>
    </w:sdtPr>
    <w:sdtEndPr>
      <w:rPr>
        <w:rStyle w:val="PageNumber"/>
      </w:rPr>
    </w:sdtEndPr>
    <w:sdtContent>
      <w:p w14:paraId="4899CBD0" w14:textId="2C7F08BA" w:rsidR="0051652E" w:rsidRDefault="0051652E" w:rsidP="00480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FFDD6" w14:textId="77777777" w:rsidR="0051652E" w:rsidRDefault="0051652E" w:rsidP="005165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1C17" w14:textId="77777777" w:rsidR="0022619A" w:rsidRDefault="0022619A" w:rsidP="0051652E">
      <w:r>
        <w:separator/>
      </w:r>
    </w:p>
  </w:footnote>
  <w:footnote w:type="continuationSeparator" w:id="0">
    <w:p w14:paraId="5C700562" w14:textId="77777777" w:rsidR="0022619A" w:rsidRDefault="0022619A" w:rsidP="0051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946C" w14:textId="03494D0E" w:rsidR="00DE438D" w:rsidRDefault="0022619A">
    <w:pPr>
      <w:pStyle w:val="Header"/>
    </w:pPr>
    <w:r>
      <w:rPr>
        <w:noProof/>
      </w:rPr>
      <w:pict w14:anchorId="43C1A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70C"/>
    <w:multiLevelType w:val="hybridMultilevel"/>
    <w:tmpl w:val="5E58B0B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C1C"/>
    <w:multiLevelType w:val="hybridMultilevel"/>
    <w:tmpl w:val="6F5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B1E58"/>
    <w:multiLevelType w:val="hybridMultilevel"/>
    <w:tmpl w:val="A18A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5527C"/>
    <w:multiLevelType w:val="hybridMultilevel"/>
    <w:tmpl w:val="2FD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1220"/>
    <w:multiLevelType w:val="hybridMultilevel"/>
    <w:tmpl w:val="F6AA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21E22"/>
    <w:multiLevelType w:val="hybridMultilevel"/>
    <w:tmpl w:val="6F8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43EF"/>
    <w:multiLevelType w:val="hybridMultilevel"/>
    <w:tmpl w:val="048CB068"/>
    <w:lvl w:ilvl="0" w:tplc="221AB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842C8"/>
    <w:multiLevelType w:val="hybridMultilevel"/>
    <w:tmpl w:val="6126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47A72"/>
    <w:multiLevelType w:val="hybridMultilevel"/>
    <w:tmpl w:val="86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A66"/>
    <w:multiLevelType w:val="hybridMultilevel"/>
    <w:tmpl w:val="E2626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5B0AC5"/>
    <w:multiLevelType w:val="hybridMultilevel"/>
    <w:tmpl w:val="9B2C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1"/>
  </w:num>
  <w:num w:numId="6">
    <w:abstractNumId w:val="10"/>
  </w:num>
  <w:num w:numId="7">
    <w:abstractNumId w:val="0"/>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7C"/>
    <w:rsid w:val="00002BD4"/>
    <w:rsid w:val="000256DD"/>
    <w:rsid w:val="000310BD"/>
    <w:rsid w:val="0007203D"/>
    <w:rsid w:val="00092717"/>
    <w:rsid w:val="000D044A"/>
    <w:rsid w:val="000D37A5"/>
    <w:rsid w:val="00103905"/>
    <w:rsid w:val="001168F2"/>
    <w:rsid w:val="00117962"/>
    <w:rsid w:val="001230D2"/>
    <w:rsid w:val="0013158A"/>
    <w:rsid w:val="00133F8B"/>
    <w:rsid w:val="00140A43"/>
    <w:rsid w:val="00143632"/>
    <w:rsid w:val="00152C56"/>
    <w:rsid w:val="0015768E"/>
    <w:rsid w:val="00164DC8"/>
    <w:rsid w:val="00165DBC"/>
    <w:rsid w:val="00166EB0"/>
    <w:rsid w:val="00192229"/>
    <w:rsid w:val="00194C6D"/>
    <w:rsid w:val="001A6429"/>
    <w:rsid w:val="001B22A8"/>
    <w:rsid w:val="001C2C68"/>
    <w:rsid w:val="001C7AEC"/>
    <w:rsid w:val="001D48A2"/>
    <w:rsid w:val="001D5666"/>
    <w:rsid w:val="001D6FCD"/>
    <w:rsid w:val="001E0EBC"/>
    <w:rsid w:val="001E769C"/>
    <w:rsid w:val="001F7EDF"/>
    <w:rsid w:val="0020184A"/>
    <w:rsid w:val="00220A84"/>
    <w:rsid w:val="0022619A"/>
    <w:rsid w:val="002B4AD9"/>
    <w:rsid w:val="002D46CB"/>
    <w:rsid w:val="002D494C"/>
    <w:rsid w:val="002E6565"/>
    <w:rsid w:val="002E7126"/>
    <w:rsid w:val="002F750B"/>
    <w:rsid w:val="003049B8"/>
    <w:rsid w:val="003335E0"/>
    <w:rsid w:val="00363338"/>
    <w:rsid w:val="00386330"/>
    <w:rsid w:val="00387008"/>
    <w:rsid w:val="003939AC"/>
    <w:rsid w:val="003A3180"/>
    <w:rsid w:val="003C28E8"/>
    <w:rsid w:val="003C3EA5"/>
    <w:rsid w:val="003D2026"/>
    <w:rsid w:val="003E57C8"/>
    <w:rsid w:val="004068B0"/>
    <w:rsid w:val="0042005A"/>
    <w:rsid w:val="00430775"/>
    <w:rsid w:val="004418BD"/>
    <w:rsid w:val="00461EB2"/>
    <w:rsid w:val="00474FB4"/>
    <w:rsid w:val="004827DD"/>
    <w:rsid w:val="00486032"/>
    <w:rsid w:val="004A209E"/>
    <w:rsid w:val="004A67D7"/>
    <w:rsid w:val="004B3C85"/>
    <w:rsid w:val="004C7023"/>
    <w:rsid w:val="004D2C21"/>
    <w:rsid w:val="0051652E"/>
    <w:rsid w:val="00542718"/>
    <w:rsid w:val="00554C56"/>
    <w:rsid w:val="00554E4B"/>
    <w:rsid w:val="0056733B"/>
    <w:rsid w:val="005F1E3D"/>
    <w:rsid w:val="00646843"/>
    <w:rsid w:val="0064760F"/>
    <w:rsid w:val="00650047"/>
    <w:rsid w:val="006644D7"/>
    <w:rsid w:val="006C7541"/>
    <w:rsid w:val="006F3807"/>
    <w:rsid w:val="007046E0"/>
    <w:rsid w:val="00714CD1"/>
    <w:rsid w:val="00723D0D"/>
    <w:rsid w:val="00747623"/>
    <w:rsid w:val="00754716"/>
    <w:rsid w:val="00757BB8"/>
    <w:rsid w:val="00764C7E"/>
    <w:rsid w:val="0078196B"/>
    <w:rsid w:val="007948C7"/>
    <w:rsid w:val="007A1058"/>
    <w:rsid w:val="007B0F81"/>
    <w:rsid w:val="007E44C6"/>
    <w:rsid w:val="00811671"/>
    <w:rsid w:val="00830AF7"/>
    <w:rsid w:val="00855569"/>
    <w:rsid w:val="00872371"/>
    <w:rsid w:val="00896B72"/>
    <w:rsid w:val="008C2F8A"/>
    <w:rsid w:val="008C77EA"/>
    <w:rsid w:val="008D0CF8"/>
    <w:rsid w:val="008D2824"/>
    <w:rsid w:val="008D76F8"/>
    <w:rsid w:val="008F57C3"/>
    <w:rsid w:val="008F7CCA"/>
    <w:rsid w:val="0090046E"/>
    <w:rsid w:val="00906D07"/>
    <w:rsid w:val="00911C98"/>
    <w:rsid w:val="0095540B"/>
    <w:rsid w:val="0096231A"/>
    <w:rsid w:val="009855CE"/>
    <w:rsid w:val="009A1166"/>
    <w:rsid w:val="009A3654"/>
    <w:rsid w:val="009A6604"/>
    <w:rsid w:val="009B2659"/>
    <w:rsid w:val="009B277B"/>
    <w:rsid w:val="009B2CB5"/>
    <w:rsid w:val="009D7F9B"/>
    <w:rsid w:val="009F7B29"/>
    <w:rsid w:val="00A215BD"/>
    <w:rsid w:val="00A21BE1"/>
    <w:rsid w:val="00A72DE8"/>
    <w:rsid w:val="00A761CF"/>
    <w:rsid w:val="00A80F38"/>
    <w:rsid w:val="00A84E39"/>
    <w:rsid w:val="00A92435"/>
    <w:rsid w:val="00AA3303"/>
    <w:rsid w:val="00AB35DF"/>
    <w:rsid w:val="00AC0027"/>
    <w:rsid w:val="00AC1D0E"/>
    <w:rsid w:val="00AF3C08"/>
    <w:rsid w:val="00B12A1C"/>
    <w:rsid w:val="00B14D84"/>
    <w:rsid w:val="00B17B14"/>
    <w:rsid w:val="00B25514"/>
    <w:rsid w:val="00B503C9"/>
    <w:rsid w:val="00B5614A"/>
    <w:rsid w:val="00BA0590"/>
    <w:rsid w:val="00BA1858"/>
    <w:rsid w:val="00BB2FF0"/>
    <w:rsid w:val="00C05D04"/>
    <w:rsid w:val="00C16EDE"/>
    <w:rsid w:val="00C22126"/>
    <w:rsid w:val="00C41FEE"/>
    <w:rsid w:val="00C5317A"/>
    <w:rsid w:val="00C601E2"/>
    <w:rsid w:val="00C73629"/>
    <w:rsid w:val="00C91735"/>
    <w:rsid w:val="00C96F2F"/>
    <w:rsid w:val="00CA0023"/>
    <w:rsid w:val="00CC0FFA"/>
    <w:rsid w:val="00CD1E9B"/>
    <w:rsid w:val="00CF1EBE"/>
    <w:rsid w:val="00CF4A86"/>
    <w:rsid w:val="00D070CB"/>
    <w:rsid w:val="00D116F1"/>
    <w:rsid w:val="00D35E51"/>
    <w:rsid w:val="00DA15DB"/>
    <w:rsid w:val="00DC44BD"/>
    <w:rsid w:val="00DD0385"/>
    <w:rsid w:val="00DD0713"/>
    <w:rsid w:val="00DD17A5"/>
    <w:rsid w:val="00DD6406"/>
    <w:rsid w:val="00DE438D"/>
    <w:rsid w:val="00DF16FB"/>
    <w:rsid w:val="00E132B7"/>
    <w:rsid w:val="00E273FC"/>
    <w:rsid w:val="00E32DDC"/>
    <w:rsid w:val="00E33BAB"/>
    <w:rsid w:val="00E41397"/>
    <w:rsid w:val="00E51F9C"/>
    <w:rsid w:val="00E5489A"/>
    <w:rsid w:val="00E65A35"/>
    <w:rsid w:val="00E80988"/>
    <w:rsid w:val="00EA7F26"/>
    <w:rsid w:val="00ED767C"/>
    <w:rsid w:val="00F012F8"/>
    <w:rsid w:val="00F05DEE"/>
    <w:rsid w:val="00F07565"/>
    <w:rsid w:val="00F15B30"/>
    <w:rsid w:val="00F41CE2"/>
    <w:rsid w:val="00F5395B"/>
    <w:rsid w:val="00F7038A"/>
    <w:rsid w:val="00F76724"/>
    <w:rsid w:val="00FA296A"/>
    <w:rsid w:val="00FA3890"/>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B6F29"/>
  <w15:chartTrackingRefBased/>
  <w15:docId w15:val="{25C1C605-7BBC-2649-AC28-E5E0363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0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7E"/>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C0FFA"/>
    <w:rPr>
      <w:sz w:val="16"/>
      <w:szCs w:val="16"/>
    </w:rPr>
  </w:style>
  <w:style w:type="paragraph" w:styleId="CommentText">
    <w:name w:val="annotation text"/>
    <w:basedOn w:val="Normal"/>
    <w:link w:val="CommentTextChar"/>
    <w:uiPriority w:val="99"/>
    <w:semiHidden/>
    <w:unhideWhenUsed/>
    <w:rsid w:val="00CC0FF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C0FFA"/>
    <w:rPr>
      <w:sz w:val="20"/>
      <w:szCs w:val="20"/>
    </w:rPr>
  </w:style>
  <w:style w:type="paragraph" w:styleId="CommentSubject">
    <w:name w:val="annotation subject"/>
    <w:basedOn w:val="CommentText"/>
    <w:next w:val="CommentText"/>
    <w:link w:val="CommentSubjectChar"/>
    <w:uiPriority w:val="99"/>
    <w:semiHidden/>
    <w:unhideWhenUsed/>
    <w:rsid w:val="00CC0FFA"/>
    <w:rPr>
      <w:b/>
      <w:bCs/>
    </w:rPr>
  </w:style>
  <w:style w:type="character" w:customStyle="1" w:styleId="CommentSubjectChar">
    <w:name w:val="Comment Subject Char"/>
    <w:basedOn w:val="CommentTextChar"/>
    <w:link w:val="CommentSubject"/>
    <w:uiPriority w:val="99"/>
    <w:semiHidden/>
    <w:rsid w:val="00CC0FFA"/>
    <w:rPr>
      <w:b/>
      <w:bCs/>
      <w:sz w:val="20"/>
      <w:szCs w:val="20"/>
    </w:rPr>
  </w:style>
  <w:style w:type="paragraph" w:styleId="BalloonText">
    <w:name w:val="Balloon Text"/>
    <w:basedOn w:val="Normal"/>
    <w:link w:val="BalloonTextChar"/>
    <w:uiPriority w:val="99"/>
    <w:semiHidden/>
    <w:unhideWhenUsed/>
    <w:rsid w:val="00CC0FFA"/>
    <w:rPr>
      <w:rFonts w:eastAsiaTheme="minorHAnsi"/>
      <w:sz w:val="18"/>
      <w:szCs w:val="18"/>
    </w:rPr>
  </w:style>
  <w:style w:type="character" w:customStyle="1" w:styleId="BalloonTextChar">
    <w:name w:val="Balloon Text Char"/>
    <w:basedOn w:val="DefaultParagraphFont"/>
    <w:link w:val="BalloonText"/>
    <w:uiPriority w:val="99"/>
    <w:semiHidden/>
    <w:rsid w:val="00CC0FFA"/>
    <w:rPr>
      <w:rFonts w:ascii="Times New Roman" w:hAnsi="Times New Roman" w:cs="Times New Roman"/>
      <w:sz w:val="18"/>
      <w:szCs w:val="18"/>
    </w:rPr>
  </w:style>
  <w:style w:type="paragraph" w:styleId="Footer">
    <w:name w:val="footer"/>
    <w:basedOn w:val="Normal"/>
    <w:link w:val="FooterChar"/>
    <w:uiPriority w:val="99"/>
    <w:unhideWhenUsed/>
    <w:rsid w:val="005165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1652E"/>
  </w:style>
  <w:style w:type="character" w:styleId="PageNumber">
    <w:name w:val="page number"/>
    <w:basedOn w:val="DefaultParagraphFont"/>
    <w:uiPriority w:val="99"/>
    <w:semiHidden/>
    <w:unhideWhenUsed/>
    <w:rsid w:val="0051652E"/>
  </w:style>
  <w:style w:type="paragraph" w:styleId="Header">
    <w:name w:val="header"/>
    <w:basedOn w:val="Normal"/>
    <w:link w:val="HeaderChar"/>
    <w:uiPriority w:val="99"/>
    <w:unhideWhenUsed/>
    <w:rsid w:val="00DE438D"/>
    <w:pPr>
      <w:tabs>
        <w:tab w:val="center" w:pos="4680"/>
        <w:tab w:val="right" w:pos="9360"/>
      </w:tabs>
    </w:pPr>
  </w:style>
  <w:style w:type="character" w:customStyle="1" w:styleId="HeaderChar">
    <w:name w:val="Header Char"/>
    <w:basedOn w:val="DefaultParagraphFont"/>
    <w:link w:val="Header"/>
    <w:uiPriority w:val="99"/>
    <w:rsid w:val="00DE438D"/>
    <w:rPr>
      <w:rFonts w:ascii="Times New Roman" w:eastAsia="Times New Roman" w:hAnsi="Times New Roman" w:cs="Times New Roman"/>
    </w:rPr>
  </w:style>
  <w:style w:type="paragraph" w:styleId="NormalWeb">
    <w:name w:val="Normal (Web)"/>
    <w:basedOn w:val="Normal"/>
    <w:uiPriority w:val="99"/>
    <w:semiHidden/>
    <w:unhideWhenUsed/>
    <w:rsid w:val="00F41CE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4943">
      <w:bodyDiv w:val="1"/>
      <w:marLeft w:val="0"/>
      <w:marRight w:val="0"/>
      <w:marTop w:val="0"/>
      <w:marBottom w:val="0"/>
      <w:divBdr>
        <w:top w:val="none" w:sz="0" w:space="0" w:color="auto"/>
        <w:left w:val="none" w:sz="0" w:space="0" w:color="auto"/>
        <w:bottom w:val="none" w:sz="0" w:space="0" w:color="auto"/>
        <w:right w:val="none" w:sz="0" w:space="0" w:color="auto"/>
      </w:divBdr>
    </w:div>
    <w:div w:id="319625998">
      <w:bodyDiv w:val="1"/>
      <w:marLeft w:val="0"/>
      <w:marRight w:val="0"/>
      <w:marTop w:val="0"/>
      <w:marBottom w:val="0"/>
      <w:divBdr>
        <w:top w:val="none" w:sz="0" w:space="0" w:color="auto"/>
        <w:left w:val="none" w:sz="0" w:space="0" w:color="auto"/>
        <w:bottom w:val="none" w:sz="0" w:space="0" w:color="auto"/>
        <w:right w:val="none" w:sz="0" w:space="0" w:color="auto"/>
      </w:divBdr>
    </w:div>
    <w:div w:id="798187252">
      <w:bodyDiv w:val="1"/>
      <w:marLeft w:val="0"/>
      <w:marRight w:val="0"/>
      <w:marTop w:val="0"/>
      <w:marBottom w:val="0"/>
      <w:divBdr>
        <w:top w:val="none" w:sz="0" w:space="0" w:color="auto"/>
        <w:left w:val="none" w:sz="0" w:space="0" w:color="auto"/>
        <w:bottom w:val="none" w:sz="0" w:space="0" w:color="auto"/>
        <w:right w:val="none" w:sz="0" w:space="0" w:color="auto"/>
      </w:divBdr>
    </w:div>
    <w:div w:id="938022736">
      <w:bodyDiv w:val="1"/>
      <w:marLeft w:val="0"/>
      <w:marRight w:val="0"/>
      <w:marTop w:val="0"/>
      <w:marBottom w:val="0"/>
      <w:divBdr>
        <w:top w:val="none" w:sz="0" w:space="0" w:color="auto"/>
        <w:left w:val="none" w:sz="0" w:space="0" w:color="auto"/>
        <w:bottom w:val="none" w:sz="0" w:space="0" w:color="auto"/>
        <w:right w:val="none" w:sz="0" w:space="0" w:color="auto"/>
      </w:divBdr>
    </w:div>
    <w:div w:id="1288850938">
      <w:bodyDiv w:val="1"/>
      <w:marLeft w:val="0"/>
      <w:marRight w:val="0"/>
      <w:marTop w:val="0"/>
      <w:marBottom w:val="0"/>
      <w:divBdr>
        <w:top w:val="none" w:sz="0" w:space="0" w:color="auto"/>
        <w:left w:val="none" w:sz="0" w:space="0" w:color="auto"/>
        <w:bottom w:val="none" w:sz="0" w:space="0" w:color="auto"/>
        <w:right w:val="none" w:sz="0" w:space="0" w:color="auto"/>
      </w:divBdr>
    </w:div>
    <w:div w:id="1656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2019-12-06T03:12:00Z</cp:lastPrinted>
  <dcterms:created xsi:type="dcterms:W3CDTF">2019-12-10T18:49:00Z</dcterms:created>
  <dcterms:modified xsi:type="dcterms:W3CDTF">2019-12-10T18:51:00Z</dcterms:modified>
</cp:coreProperties>
</file>