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463"/>
        <w:gridCol w:w="3397"/>
      </w:tblGrid>
      <w:tr w:rsidR="00507181">
        <w:tc>
          <w:tcPr>
            <w:tcW w:w="11016" w:type="dxa"/>
            <w:gridSpan w:val="3"/>
          </w:tcPr>
          <w:p w:rsidR="00507181" w:rsidRDefault="00AB3B1A">
            <w:bookmarkStart w:id="0" w:name="_GoBack"/>
            <w:bookmarkEnd w:id="0"/>
            <w:r>
              <w:rPr>
                <w:noProof/>
              </w:rPr>
              <w:drawing>
                <wp:inline distT="0" distB="0" distL="0" distR="0" wp14:anchorId="1E14F90C" wp14:editId="25A3113C">
                  <wp:extent cx="3763537" cy="685800"/>
                  <wp:effectExtent l="0" t="0" r="0" b="0"/>
                  <wp:docPr id="3" name="Picture 2" descr="OPWDD_Purple_Locku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WDD_Purple_Lockup.eps"/>
                          <pic:cNvPicPr/>
                        </pic:nvPicPr>
                        <pic:blipFill>
                          <a:blip r:embed="rId10"/>
                          <a:stretch>
                            <a:fillRect/>
                          </a:stretch>
                        </pic:blipFill>
                        <pic:spPr>
                          <a:xfrm>
                            <a:off x="0" y="0"/>
                            <a:ext cx="3763537" cy="685800"/>
                          </a:xfrm>
                          <a:prstGeom prst="rect">
                            <a:avLst/>
                          </a:prstGeom>
                        </pic:spPr>
                      </pic:pic>
                    </a:graphicData>
                  </a:graphic>
                </wp:inline>
              </w:drawing>
            </w:r>
          </w:p>
        </w:tc>
      </w:tr>
      <w:tr w:rsidR="00FC432B" w:rsidRPr="00FC432B">
        <w:tc>
          <w:tcPr>
            <w:tcW w:w="3672" w:type="dxa"/>
            <w:vAlign w:val="center"/>
          </w:tcPr>
          <w:p w:rsidR="00507181" w:rsidRPr="00751A45" w:rsidRDefault="00507181" w:rsidP="00FC432B">
            <w:pPr>
              <w:spacing w:before="120" w:line="200" w:lineRule="exact"/>
              <w:rPr>
                <w:rFonts w:ascii="Arial Bold" w:hAnsi="Arial Bold" w:cs="Arial"/>
                <w:caps/>
                <w:noProof/>
                <w:color w:val="646569"/>
                <w:sz w:val="20"/>
              </w:rPr>
            </w:pPr>
            <w:r w:rsidRPr="00751A45">
              <w:rPr>
                <w:rFonts w:ascii="Arial Bold" w:hAnsi="Arial Bold" w:cs="Arial"/>
                <w:caps/>
                <w:noProof/>
                <w:color w:val="646569"/>
                <w:sz w:val="20"/>
              </w:rPr>
              <w:t>Andrew m. cuomo</w:t>
            </w:r>
          </w:p>
          <w:p w:rsidR="00507181" w:rsidRPr="00751A45" w:rsidRDefault="00507181" w:rsidP="00FC432B">
            <w:pPr>
              <w:rPr>
                <w:rFonts w:ascii="Arial" w:hAnsi="Arial" w:cs="Arial"/>
                <w:noProof/>
                <w:color w:val="646569"/>
              </w:rPr>
            </w:pPr>
            <w:r w:rsidRPr="00751A45">
              <w:rPr>
                <w:rFonts w:ascii="Arial" w:hAnsi="Arial" w:cs="Arial"/>
                <w:noProof/>
                <w:color w:val="646569"/>
                <w:sz w:val="20"/>
              </w:rPr>
              <w:t>Governor</w:t>
            </w:r>
          </w:p>
        </w:tc>
        <w:tc>
          <w:tcPr>
            <w:tcW w:w="3672" w:type="dxa"/>
            <w:vAlign w:val="center"/>
          </w:tcPr>
          <w:p w:rsidR="00FC432B" w:rsidRPr="00751A45" w:rsidRDefault="00751A45" w:rsidP="00FC432B">
            <w:pPr>
              <w:spacing w:before="120" w:line="200" w:lineRule="exact"/>
              <w:rPr>
                <w:rFonts w:ascii="Arial Bold" w:hAnsi="Arial Bold" w:cs="Arial"/>
                <w:caps/>
                <w:noProof/>
                <w:color w:val="646569"/>
                <w:sz w:val="20"/>
              </w:rPr>
            </w:pPr>
            <w:r w:rsidRPr="00751A45">
              <w:rPr>
                <w:rFonts w:ascii="Arial Bold" w:hAnsi="Arial Bold" w:cs="Arial"/>
                <w:caps/>
                <w:noProof/>
                <w:color w:val="646569"/>
                <w:sz w:val="20"/>
              </w:rPr>
              <w:t>Kerry A. Delaney</w:t>
            </w:r>
          </w:p>
          <w:p w:rsidR="00507181" w:rsidRPr="00751A45" w:rsidRDefault="00751A45" w:rsidP="00FC432B">
            <w:pPr>
              <w:rPr>
                <w:rFonts w:ascii="Arial" w:hAnsi="Arial"/>
                <w:noProof/>
                <w:color w:val="646569"/>
              </w:rPr>
            </w:pPr>
            <w:r w:rsidRPr="00751A45">
              <w:rPr>
                <w:rFonts w:ascii="Arial" w:hAnsi="Arial" w:cs="Arial"/>
                <w:noProof/>
                <w:color w:val="646569"/>
                <w:sz w:val="20"/>
              </w:rPr>
              <w:t>Acting Commissioner</w:t>
            </w:r>
          </w:p>
        </w:tc>
        <w:tc>
          <w:tcPr>
            <w:tcW w:w="3672" w:type="dxa"/>
            <w:vAlign w:val="center"/>
          </w:tcPr>
          <w:p w:rsidR="00FC432B" w:rsidRPr="00751A45" w:rsidRDefault="00FC432B" w:rsidP="00FC432B">
            <w:pPr>
              <w:spacing w:before="120" w:line="200" w:lineRule="exact"/>
              <w:rPr>
                <w:rFonts w:ascii="Proxima Nova Rg" w:hAnsi="Proxima Nova Rg" w:cs="Arial"/>
                <w:b/>
                <w:caps/>
                <w:noProof/>
                <w:color w:val="FFFFFF" w:themeColor="background1"/>
                <w:sz w:val="20"/>
              </w:rPr>
            </w:pPr>
            <w:r w:rsidRPr="00751A45">
              <w:rPr>
                <w:rFonts w:ascii="Proxima Nova Rg" w:hAnsi="Proxima Nova Rg" w:cs="Arial"/>
                <w:b/>
                <w:caps/>
                <w:noProof/>
                <w:color w:val="FFFFFF" w:themeColor="background1"/>
                <w:sz w:val="20"/>
              </w:rPr>
              <w:t>optional third name</w:t>
            </w:r>
          </w:p>
          <w:p w:rsidR="00FC432B" w:rsidRPr="00FC432B" w:rsidRDefault="00FC432B" w:rsidP="00FC432B">
            <w:pPr>
              <w:rPr>
                <w:rFonts w:ascii="Proxima Nova Rg" w:hAnsi="Proxima Nova Rg" w:cs="Arial"/>
                <w:caps/>
                <w:noProof/>
                <w:color w:val="646569"/>
                <w:sz w:val="20"/>
              </w:rPr>
            </w:pPr>
            <w:r w:rsidRPr="00751A45">
              <w:rPr>
                <w:rFonts w:ascii="Proxima Nova Rg" w:hAnsi="Proxima Nova Rg" w:cs="Arial"/>
                <w:noProof/>
                <w:color w:val="FFFFFF" w:themeColor="background1"/>
                <w:sz w:val="20"/>
              </w:rPr>
              <w:t>Optional Third Title</w:t>
            </w:r>
          </w:p>
        </w:tc>
      </w:tr>
    </w:tbl>
    <w:p w:rsidR="006D2026" w:rsidRDefault="006D2026">
      <w:pPr>
        <w:sectPr w:rsidR="006D2026" w:rsidSect="00390D29">
          <w:footerReference w:type="default" r:id="rId11"/>
          <w:pgSz w:w="12240" w:h="15840"/>
          <w:pgMar w:top="1440" w:right="1080" w:bottom="1440" w:left="1080" w:header="720" w:footer="720" w:gutter="0"/>
          <w:cols w:space="720"/>
          <w:docGrid w:linePitch="360"/>
        </w:sectPr>
      </w:pPr>
    </w:p>
    <w:p w:rsidR="00547EE9" w:rsidRDefault="00547EE9">
      <w:pPr>
        <w:rPr>
          <w:rFonts w:ascii="Arial" w:hAnsi="Arial" w:cs="Arial"/>
          <w:sz w:val="24"/>
          <w:szCs w:val="24"/>
        </w:rPr>
      </w:pPr>
    </w:p>
    <w:p w:rsidR="006E0A69" w:rsidRPr="00C92AA1" w:rsidRDefault="0041405B">
      <w:pPr>
        <w:rPr>
          <w:rFonts w:ascii="Arial" w:hAnsi="Arial" w:cs="Arial"/>
        </w:rPr>
      </w:pPr>
      <w:r>
        <w:rPr>
          <w:rFonts w:ascii="Arial" w:hAnsi="Arial" w:cs="Arial"/>
        </w:rPr>
        <w:t>March 10</w:t>
      </w:r>
      <w:r w:rsidR="00C92AA1" w:rsidRPr="00C92AA1">
        <w:rPr>
          <w:rFonts w:ascii="Arial" w:hAnsi="Arial" w:cs="Arial"/>
        </w:rPr>
        <w:t>, 2017</w:t>
      </w:r>
    </w:p>
    <w:p w:rsidR="00C92AA1" w:rsidRPr="00C92AA1" w:rsidRDefault="00C92AA1">
      <w:pPr>
        <w:rPr>
          <w:rFonts w:ascii="Arial" w:hAnsi="Arial" w:cs="Arial"/>
        </w:rPr>
      </w:pPr>
    </w:p>
    <w:p w:rsidR="00A27C6C" w:rsidRPr="00C92AA1" w:rsidRDefault="00C92AA1" w:rsidP="00C92AA1">
      <w:pPr>
        <w:jc w:val="both"/>
        <w:rPr>
          <w:rFonts w:ascii="Arial" w:hAnsi="Arial" w:cs="Arial"/>
        </w:rPr>
      </w:pPr>
      <w:r w:rsidRPr="00C92AA1">
        <w:rPr>
          <w:rFonts w:ascii="Arial" w:hAnsi="Arial" w:cs="Arial"/>
        </w:rPr>
        <w:t>To Whom I</w:t>
      </w:r>
      <w:r w:rsidR="00A27C6C" w:rsidRPr="00C92AA1">
        <w:rPr>
          <w:rFonts w:ascii="Arial" w:hAnsi="Arial" w:cs="Arial"/>
        </w:rPr>
        <w:t>t May Concern,</w:t>
      </w:r>
    </w:p>
    <w:p w:rsidR="00A27C6C" w:rsidRPr="00C92AA1" w:rsidRDefault="00A27C6C" w:rsidP="00C92AA1">
      <w:pPr>
        <w:jc w:val="both"/>
        <w:rPr>
          <w:rFonts w:ascii="Arial" w:hAnsi="Arial" w:cs="Arial"/>
        </w:rPr>
      </w:pPr>
      <w:r w:rsidRPr="00C92AA1">
        <w:rPr>
          <w:rFonts w:ascii="Arial" w:hAnsi="Arial" w:cs="Arial"/>
        </w:rPr>
        <w:t>This letter is to inform you that Janet Cummin</w:t>
      </w:r>
      <w:r w:rsidR="00C92AA1" w:rsidRPr="00C92AA1">
        <w:rPr>
          <w:rFonts w:ascii="Arial" w:hAnsi="Arial" w:cs="Arial"/>
        </w:rPr>
        <w:t>s</w:t>
      </w:r>
      <w:r w:rsidRPr="00C92AA1">
        <w:rPr>
          <w:rFonts w:ascii="Arial" w:hAnsi="Arial" w:cs="Arial"/>
        </w:rPr>
        <w:t xml:space="preserve"> is</w:t>
      </w:r>
      <w:r w:rsidR="00167611" w:rsidRPr="00C92AA1">
        <w:rPr>
          <w:rFonts w:ascii="Arial" w:hAnsi="Arial" w:cs="Arial"/>
        </w:rPr>
        <w:t xml:space="preserve"> a Consultant for </w:t>
      </w:r>
      <w:r w:rsidRPr="00C92AA1">
        <w:rPr>
          <w:rFonts w:ascii="Arial" w:hAnsi="Arial" w:cs="Arial"/>
        </w:rPr>
        <w:t>the Office for People With Developmental Disabilities (OPWDD)</w:t>
      </w:r>
      <w:r w:rsidR="003D7EB0" w:rsidRPr="00C92AA1">
        <w:rPr>
          <w:rFonts w:ascii="Arial" w:hAnsi="Arial" w:cs="Arial"/>
        </w:rPr>
        <w:t xml:space="preserve"> and as such</w:t>
      </w:r>
      <w:r w:rsidRPr="00C92AA1">
        <w:rPr>
          <w:rFonts w:ascii="Arial" w:hAnsi="Arial" w:cs="Arial"/>
        </w:rPr>
        <w:t xml:space="preserve"> is responsible for the oversight and protection o</w:t>
      </w:r>
      <w:r w:rsidR="003D7EB0" w:rsidRPr="00C92AA1">
        <w:rPr>
          <w:rFonts w:ascii="Arial" w:hAnsi="Arial" w:cs="Arial"/>
        </w:rPr>
        <w:t xml:space="preserve">f </w:t>
      </w:r>
      <w:r w:rsidR="00167611" w:rsidRPr="00C92AA1">
        <w:rPr>
          <w:rFonts w:ascii="Arial" w:hAnsi="Arial" w:cs="Arial"/>
        </w:rPr>
        <w:t xml:space="preserve">the </w:t>
      </w:r>
      <w:proofErr w:type="spellStart"/>
      <w:r w:rsidR="003D7EB0" w:rsidRPr="00C92AA1">
        <w:rPr>
          <w:rFonts w:ascii="Arial" w:hAnsi="Arial" w:cs="Arial"/>
        </w:rPr>
        <w:t>Willowbrook</w:t>
      </w:r>
      <w:proofErr w:type="spellEnd"/>
      <w:r w:rsidR="003D7EB0" w:rsidRPr="00C92AA1">
        <w:rPr>
          <w:rFonts w:ascii="Arial" w:hAnsi="Arial" w:cs="Arial"/>
        </w:rPr>
        <w:t xml:space="preserve"> class members as per the </w:t>
      </w:r>
      <w:proofErr w:type="spellStart"/>
      <w:r w:rsidR="003D7EB0" w:rsidRPr="00C92AA1">
        <w:rPr>
          <w:rFonts w:ascii="Arial" w:hAnsi="Arial" w:cs="Arial"/>
        </w:rPr>
        <w:t>Willowbrook</w:t>
      </w:r>
      <w:proofErr w:type="spellEnd"/>
      <w:r w:rsidR="003D7EB0" w:rsidRPr="00C92AA1">
        <w:rPr>
          <w:rFonts w:ascii="Arial" w:hAnsi="Arial" w:cs="Arial"/>
        </w:rPr>
        <w:t xml:space="preserve"> Permanent Injunction (72 Civ. 356, 357).</w:t>
      </w:r>
    </w:p>
    <w:p w:rsidR="006E0A69" w:rsidRPr="00C92AA1" w:rsidRDefault="0033369C" w:rsidP="00C92AA1">
      <w:pPr>
        <w:jc w:val="both"/>
        <w:rPr>
          <w:rFonts w:ascii="Arial" w:hAnsi="Arial" w:cs="Arial"/>
        </w:rPr>
      </w:pPr>
      <w:r w:rsidRPr="00C92AA1">
        <w:rPr>
          <w:rFonts w:ascii="Arial" w:hAnsi="Arial" w:cs="Arial"/>
        </w:rPr>
        <w:t>The</w:t>
      </w:r>
      <w:r w:rsidR="006E0A69" w:rsidRPr="00C92AA1">
        <w:rPr>
          <w:rFonts w:ascii="Arial" w:hAnsi="Arial" w:cs="Arial"/>
        </w:rPr>
        <w:t xml:space="preserve"> m</w:t>
      </w:r>
      <w:r w:rsidRPr="00C92AA1">
        <w:rPr>
          <w:rFonts w:ascii="Arial" w:hAnsi="Arial" w:cs="Arial"/>
        </w:rPr>
        <w:t>onitor</w:t>
      </w:r>
      <w:r w:rsidR="006E0A69" w:rsidRPr="00C92AA1">
        <w:rPr>
          <w:rFonts w:ascii="Arial" w:hAnsi="Arial" w:cs="Arial"/>
        </w:rPr>
        <w:t>ing of</w:t>
      </w:r>
      <w:r w:rsidRPr="00C92AA1">
        <w:rPr>
          <w:rFonts w:ascii="Arial" w:hAnsi="Arial" w:cs="Arial"/>
        </w:rPr>
        <w:t xml:space="preserve"> compliance with the terms of the Permanent Injunction</w:t>
      </w:r>
      <w:r w:rsidR="006E0A69" w:rsidRPr="00C92AA1">
        <w:rPr>
          <w:rFonts w:ascii="Arial" w:hAnsi="Arial" w:cs="Arial"/>
        </w:rPr>
        <w:t xml:space="preserve"> include but are not limited to conducting site visits to residential and day programs as well as Nursing Home facilities across New York State to monitor and assess quality of care</w:t>
      </w:r>
      <w:r w:rsidR="00C92AA1">
        <w:rPr>
          <w:rFonts w:ascii="Arial" w:hAnsi="Arial" w:cs="Arial"/>
        </w:rPr>
        <w:t xml:space="preserve"> being received by </w:t>
      </w:r>
      <w:proofErr w:type="spellStart"/>
      <w:r w:rsidR="00C92AA1">
        <w:rPr>
          <w:rFonts w:ascii="Arial" w:hAnsi="Arial" w:cs="Arial"/>
        </w:rPr>
        <w:t>Willowbrook</w:t>
      </w:r>
      <w:proofErr w:type="spellEnd"/>
      <w:r w:rsidR="00C92AA1">
        <w:rPr>
          <w:rFonts w:ascii="Arial" w:hAnsi="Arial" w:cs="Arial"/>
        </w:rPr>
        <w:t xml:space="preserve"> c</w:t>
      </w:r>
      <w:r w:rsidR="006E0A69" w:rsidRPr="00C92AA1">
        <w:rPr>
          <w:rFonts w:ascii="Arial" w:hAnsi="Arial" w:cs="Arial"/>
        </w:rPr>
        <w:t xml:space="preserve">lass members.  </w:t>
      </w:r>
    </w:p>
    <w:p w:rsidR="006E0A69" w:rsidRPr="00C92AA1" w:rsidRDefault="006E0A69" w:rsidP="00C92AA1">
      <w:pPr>
        <w:jc w:val="both"/>
        <w:rPr>
          <w:rFonts w:ascii="Arial" w:hAnsi="Arial" w:cs="Arial"/>
        </w:rPr>
      </w:pPr>
      <w:r w:rsidRPr="00C92AA1">
        <w:rPr>
          <w:rFonts w:ascii="Arial" w:hAnsi="Arial" w:cs="Arial"/>
        </w:rPr>
        <w:t>Ms. Cummin</w:t>
      </w:r>
      <w:r w:rsidR="00C92AA1" w:rsidRPr="00C92AA1">
        <w:rPr>
          <w:rFonts w:ascii="Arial" w:hAnsi="Arial" w:cs="Arial"/>
        </w:rPr>
        <w:t>s</w:t>
      </w:r>
      <w:r w:rsidRPr="00C92AA1">
        <w:rPr>
          <w:rFonts w:ascii="Arial" w:hAnsi="Arial" w:cs="Arial"/>
        </w:rPr>
        <w:t xml:space="preserve"> shall be allowed access to all inf</w:t>
      </w:r>
      <w:r w:rsidR="00C92AA1">
        <w:rPr>
          <w:rFonts w:ascii="Arial" w:hAnsi="Arial" w:cs="Arial"/>
        </w:rPr>
        <w:t xml:space="preserve">ormation regarding </w:t>
      </w:r>
      <w:proofErr w:type="spellStart"/>
      <w:r w:rsidR="00C92AA1">
        <w:rPr>
          <w:rFonts w:ascii="Arial" w:hAnsi="Arial" w:cs="Arial"/>
        </w:rPr>
        <w:t>Willowbrook</w:t>
      </w:r>
      <w:proofErr w:type="spellEnd"/>
      <w:r w:rsidR="00C92AA1">
        <w:rPr>
          <w:rFonts w:ascii="Arial" w:hAnsi="Arial" w:cs="Arial"/>
        </w:rPr>
        <w:t xml:space="preserve"> c</w:t>
      </w:r>
      <w:r w:rsidRPr="00C92AA1">
        <w:rPr>
          <w:rFonts w:ascii="Arial" w:hAnsi="Arial" w:cs="Arial"/>
        </w:rPr>
        <w:t xml:space="preserve">lass members as is </w:t>
      </w:r>
      <w:proofErr w:type="gramStart"/>
      <w:r w:rsidRPr="00C92AA1">
        <w:rPr>
          <w:rFonts w:ascii="Arial" w:hAnsi="Arial" w:cs="Arial"/>
        </w:rPr>
        <w:t>required</w:t>
      </w:r>
      <w:proofErr w:type="gramEnd"/>
      <w:r w:rsidRPr="00C92AA1">
        <w:rPr>
          <w:rFonts w:ascii="Arial" w:hAnsi="Arial" w:cs="Arial"/>
        </w:rPr>
        <w:t xml:space="preserve"> for her to perform these duties.</w:t>
      </w:r>
    </w:p>
    <w:p w:rsidR="006E0A69" w:rsidRPr="00C92AA1" w:rsidRDefault="006E0A69" w:rsidP="00C92AA1">
      <w:pPr>
        <w:jc w:val="both"/>
        <w:rPr>
          <w:rFonts w:ascii="Arial" w:hAnsi="Arial" w:cs="Arial"/>
        </w:rPr>
      </w:pPr>
      <w:r w:rsidRPr="00C92AA1">
        <w:rPr>
          <w:rFonts w:ascii="Arial" w:hAnsi="Arial" w:cs="Arial"/>
        </w:rPr>
        <w:t xml:space="preserve">Should there be any questions regarding this, please contact </w:t>
      </w:r>
      <w:r w:rsidR="00C92AA1" w:rsidRPr="00C92AA1">
        <w:rPr>
          <w:rFonts w:ascii="Arial" w:hAnsi="Arial" w:cs="Arial"/>
        </w:rPr>
        <w:t>me</w:t>
      </w:r>
      <w:r w:rsidRPr="00C92AA1">
        <w:rPr>
          <w:rFonts w:ascii="Arial" w:hAnsi="Arial" w:cs="Arial"/>
        </w:rPr>
        <w:t xml:space="preserve"> at</w:t>
      </w:r>
      <w:r w:rsidR="00C92AA1" w:rsidRPr="00C92AA1">
        <w:rPr>
          <w:rFonts w:ascii="Arial" w:hAnsi="Arial" w:cs="Arial"/>
        </w:rPr>
        <w:t xml:space="preserve"> 518-474-6837.</w:t>
      </w:r>
    </w:p>
    <w:p w:rsidR="00A360CD" w:rsidRPr="00C92AA1" w:rsidRDefault="00C92AA1" w:rsidP="00C92AA1">
      <w:pPr>
        <w:jc w:val="both"/>
        <w:rPr>
          <w:rFonts w:ascii="Arial" w:hAnsi="Arial" w:cs="Arial"/>
        </w:rPr>
      </w:pPr>
      <w:r w:rsidRPr="00C92AA1">
        <w:rPr>
          <w:rFonts w:ascii="Arial" w:hAnsi="Arial" w:cs="Arial"/>
        </w:rPr>
        <w:t>Signature,</w:t>
      </w:r>
    </w:p>
    <w:p w:rsidR="00C92AA1" w:rsidRPr="00C92AA1" w:rsidRDefault="00C92AA1" w:rsidP="00C92AA1">
      <w:pPr>
        <w:ind w:left="-288"/>
        <w:jc w:val="both"/>
        <w:rPr>
          <w:rFonts w:ascii="Arial" w:hAnsi="Arial" w:cs="Arial"/>
        </w:rPr>
      </w:pPr>
      <w:r>
        <w:rPr>
          <w:noProof/>
        </w:rPr>
        <w:drawing>
          <wp:inline distT="0" distB="0" distL="0" distR="0" wp14:anchorId="5BD70F7D" wp14:editId="154FD42A">
            <wp:extent cx="17811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438150"/>
                    </a:xfrm>
                    <a:prstGeom prst="rect">
                      <a:avLst/>
                    </a:prstGeom>
                    <a:noFill/>
                    <a:ln>
                      <a:noFill/>
                    </a:ln>
                  </pic:spPr>
                </pic:pic>
              </a:graphicData>
            </a:graphic>
          </wp:inline>
        </w:drawing>
      </w:r>
    </w:p>
    <w:p w:rsidR="00C92AA1" w:rsidRPr="00C92AA1" w:rsidRDefault="00C92AA1" w:rsidP="00C92AA1">
      <w:pPr>
        <w:pStyle w:val="NoSpacing"/>
        <w:rPr>
          <w:rFonts w:ascii="Arial" w:hAnsi="Arial" w:cs="Arial"/>
        </w:rPr>
      </w:pPr>
      <w:r w:rsidRPr="00C92AA1">
        <w:rPr>
          <w:rFonts w:ascii="Arial" w:hAnsi="Arial" w:cs="Arial"/>
        </w:rPr>
        <w:t>Megan O’Connor-Hebert</w:t>
      </w:r>
    </w:p>
    <w:p w:rsidR="00C92AA1" w:rsidRPr="00C92AA1" w:rsidRDefault="00C92AA1" w:rsidP="00C92AA1">
      <w:pPr>
        <w:pStyle w:val="NoSpacing"/>
        <w:rPr>
          <w:rFonts w:ascii="Arial" w:hAnsi="Arial" w:cs="Arial"/>
        </w:rPr>
      </w:pPr>
      <w:r w:rsidRPr="00C92AA1">
        <w:rPr>
          <w:rFonts w:ascii="Arial" w:hAnsi="Arial" w:cs="Arial"/>
        </w:rPr>
        <w:t>Deputy Commissioner</w:t>
      </w:r>
    </w:p>
    <w:p w:rsidR="00C92AA1" w:rsidRDefault="00C92AA1" w:rsidP="00C92AA1">
      <w:pPr>
        <w:pStyle w:val="NoSpacing"/>
        <w:rPr>
          <w:rFonts w:ascii="Arial" w:hAnsi="Arial" w:cs="Arial"/>
        </w:rPr>
      </w:pPr>
      <w:r w:rsidRPr="00C92AA1">
        <w:rPr>
          <w:rFonts w:ascii="Arial" w:hAnsi="Arial" w:cs="Arial"/>
        </w:rPr>
        <w:t>Division of Service Delivery – Regional Offices</w:t>
      </w:r>
    </w:p>
    <w:p w:rsidR="0041405B" w:rsidRDefault="0041405B" w:rsidP="00C92AA1">
      <w:pPr>
        <w:pStyle w:val="NoSpacing"/>
        <w:rPr>
          <w:rFonts w:ascii="Arial" w:hAnsi="Arial" w:cs="Arial"/>
        </w:rPr>
      </w:pPr>
    </w:p>
    <w:p w:rsidR="0041405B" w:rsidRDefault="0041405B" w:rsidP="00C92AA1">
      <w:pPr>
        <w:pStyle w:val="NoSpacing"/>
        <w:rPr>
          <w:rFonts w:ascii="Arial" w:hAnsi="Arial" w:cs="Arial"/>
        </w:rPr>
      </w:pPr>
      <w:r>
        <w:rPr>
          <w:rFonts w:ascii="Arial" w:hAnsi="Arial" w:cs="Arial"/>
        </w:rPr>
        <w:t>cc: K. Delaney</w:t>
      </w:r>
    </w:p>
    <w:p w:rsidR="0041405B" w:rsidRDefault="0041405B" w:rsidP="00C92AA1">
      <w:pPr>
        <w:pStyle w:val="NoSpacing"/>
        <w:rPr>
          <w:rFonts w:ascii="Arial" w:hAnsi="Arial" w:cs="Arial"/>
        </w:rPr>
      </w:pPr>
      <w:r>
        <w:rPr>
          <w:rFonts w:ascii="Arial" w:hAnsi="Arial" w:cs="Arial"/>
        </w:rPr>
        <w:t xml:space="preserve">      H. </w:t>
      </w:r>
      <w:proofErr w:type="spellStart"/>
      <w:r>
        <w:rPr>
          <w:rFonts w:ascii="Arial" w:hAnsi="Arial" w:cs="Arial"/>
        </w:rPr>
        <w:t>DeSanto</w:t>
      </w:r>
      <w:proofErr w:type="spellEnd"/>
    </w:p>
    <w:p w:rsidR="0041405B" w:rsidRDefault="0041405B" w:rsidP="00C92AA1">
      <w:pPr>
        <w:pStyle w:val="NoSpacing"/>
        <w:rPr>
          <w:rFonts w:ascii="Arial" w:hAnsi="Arial" w:cs="Arial"/>
        </w:rPr>
      </w:pPr>
      <w:r>
        <w:rPr>
          <w:rFonts w:ascii="Arial" w:hAnsi="Arial" w:cs="Arial"/>
        </w:rPr>
        <w:t xml:space="preserve">      W. Baer</w:t>
      </w:r>
    </w:p>
    <w:p w:rsidR="0041405B" w:rsidRDefault="0041405B" w:rsidP="00C92AA1">
      <w:pPr>
        <w:pStyle w:val="NoSpacing"/>
        <w:rPr>
          <w:rFonts w:ascii="Arial" w:hAnsi="Arial" w:cs="Arial"/>
        </w:rPr>
      </w:pPr>
      <w:r>
        <w:rPr>
          <w:rFonts w:ascii="Arial" w:hAnsi="Arial" w:cs="Arial"/>
        </w:rPr>
        <w:t xml:space="preserve">      E. Matthews</w:t>
      </w:r>
    </w:p>
    <w:p w:rsidR="0041405B" w:rsidRDefault="0041405B" w:rsidP="00C92AA1">
      <w:pPr>
        <w:pStyle w:val="NoSpacing"/>
        <w:rPr>
          <w:rFonts w:ascii="Arial" w:hAnsi="Arial" w:cs="Arial"/>
        </w:rPr>
      </w:pPr>
      <w:r>
        <w:rPr>
          <w:rFonts w:ascii="Arial" w:hAnsi="Arial" w:cs="Arial"/>
        </w:rPr>
        <w:t xml:space="preserve">      L. </w:t>
      </w:r>
      <w:proofErr w:type="spellStart"/>
      <w:r>
        <w:rPr>
          <w:rFonts w:ascii="Arial" w:hAnsi="Arial" w:cs="Arial"/>
        </w:rPr>
        <w:t>Lehmkuhl</w:t>
      </w:r>
      <w:proofErr w:type="spellEnd"/>
    </w:p>
    <w:p w:rsidR="0041405B" w:rsidRDefault="0041405B" w:rsidP="00C92AA1">
      <w:pPr>
        <w:pStyle w:val="NoSpacing"/>
        <w:rPr>
          <w:rFonts w:ascii="Arial" w:hAnsi="Arial" w:cs="Arial"/>
        </w:rPr>
      </w:pPr>
      <w:r>
        <w:rPr>
          <w:rFonts w:ascii="Arial" w:hAnsi="Arial" w:cs="Arial"/>
        </w:rPr>
        <w:t xml:space="preserve">      B. </w:t>
      </w:r>
      <w:proofErr w:type="spellStart"/>
      <w:r>
        <w:rPr>
          <w:rFonts w:ascii="Arial" w:hAnsi="Arial" w:cs="Arial"/>
        </w:rPr>
        <w:t>Haroules</w:t>
      </w:r>
      <w:proofErr w:type="spellEnd"/>
    </w:p>
    <w:p w:rsidR="0041405B" w:rsidRDefault="0041405B" w:rsidP="00C92AA1">
      <w:pPr>
        <w:pStyle w:val="NoSpacing"/>
        <w:rPr>
          <w:rFonts w:ascii="Arial" w:hAnsi="Arial" w:cs="Arial"/>
        </w:rPr>
      </w:pPr>
      <w:r>
        <w:rPr>
          <w:rFonts w:ascii="Arial" w:hAnsi="Arial" w:cs="Arial"/>
        </w:rPr>
        <w:t xml:space="preserve">      R. Cohn</w:t>
      </w:r>
    </w:p>
    <w:p w:rsidR="0041405B" w:rsidRPr="00C92AA1" w:rsidRDefault="0041405B" w:rsidP="00C92AA1">
      <w:pPr>
        <w:pStyle w:val="NoSpacing"/>
        <w:rPr>
          <w:rFonts w:ascii="Arial" w:hAnsi="Arial" w:cs="Arial"/>
        </w:rPr>
      </w:pPr>
      <w:r>
        <w:rPr>
          <w:rFonts w:ascii="Arial" w:hAnsi="Arial" w:cs="Arial"/>
        </w:rPr>
        <w:t xml:space="preserve">      R. Mueller</w:t>
      </w:r>
    </w:p>
    <w:p w:rsidR="00C92AA1" w:rsidRDefault="00C92AA1">
      <w:pPr>
        <w:rPr>
          <w:rFonts w:ascii="Arial" w:hAnsi="Arial" w:cs="Arial"/>
          <w:sz w:val="24"/>
          <w:szCs w:val="24"/>
        </w:rPr>
      </w:pPr>
    </w:p>
    <w:p w:rsidR="00020A54" w:rsidRPr="00020A54" w:rsidRDefault="00020A54">
      <w:pPr>
        <w:rPr>
          <w:rFonts w:ascii="Arial" w:hAnsi="Arial" w:cs="Arial"/>
          <w:sz w:val="24"/>
          <w:szCs w:val="24"/>
        </w:rPr>
      </w:pPr>
    </w:p>
    <w:sectPr w:rsidR="00020A54" w:rsidRPr="00020A54" w:rsidSect="00020A54">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D3" w:rsidRDefault="007E0AD3" w:rsidP="00FC432B">
      <w:pPr>
        <w:spacing w:after="0" w:line="240" w:lineRule="auto"/>
      </w:pPr>
      <w:r>
        <w:separator/>
      </w:r>
    </w:p>
  </w:endnote>
  <w:endnote w:type="continuationSeparator" w:id="0">
    <w:p w:rsidR="007E0AD3" w:rsidRDefault="007E0AD3"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A5" w:rsidRDefault="00D124E8">
    <w:pPr>
      <w:pStyle w:val="Footer"/>
    </w:pPr>
    <w:r>
      <w:rPr>
        <w:noProof/>
      </w:rPr>
      <mc:AlternateContent>
        <mc:Choice Requires="wps">
          <w:drawing>
            <wp:anchor distT="4294967295" distB="4294967295" distL="114300" distR="114300" simplePos="0" relativeHeight="251659264" behindDoc="0" locked="0" layoutInCell="1" allowOverlap="1" wp14:anchorId="36DA39CB" wp14:editId="6CE7F2CA">
              <wp:simplePos x="0" y="0"/>
              <wp:positionH relativeFrom="column">
                <wp:posOffset>0</wp:posOffset>
              </wp:positionH>
              <wp:positionV relativeFrom="paragraph">
                <wp:posOffset>93344</wp:posOffset>
              </wp:positionV>
              <wp:extent cx="6810375" cy="0"/>
              <wp:effectExtent l="0" t="0" r="2222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CEA62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35pt" to="53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" strokecolor="#646569" strokeweight="1pt">
              <o:lock v:ext="edit" shapetype="f"/>
            </v:line>
          </w:pict>
        </mc:Fallback>
      </mc:AlternateContent>
    </w:r>
  </w:p>
  <w:p w:rsidR="00547EE9" w:rsidRPr="004B696F" w:rsidRDefault="00547EE9" w:rsidP="00547EE9">
    <w:pPr>
      <w:pStyle w:val="Footer"/>
      <w:spacing w:line="360" w:lineRule="auto"/>
      <w:jc w:val="center"/>
      <w:rPr>
        <w:rFonts w:ascii="Arial" w:hAnsi="Arial"/>
        <w:b/>
        <w:color w:val="646569"/>
        <w:sz w:val="16"/>
        <w:szCs w:val="16"/>
      </w:rPr>
    </w:pPr>
    <w:r w:rsidRPr="004B696F">
      <w:rPr>
        <w:rFonts w:ascii="Arial" w:hAnsi="Arial"/>
        <w:b/>
        <w:color w:val="646569"/>
        <w:sz w:val="16"/>
        <w:szCs w:val="16"/>
      </w:rPr>
      <w:t>Executive Office</w:t>
    </w:r>
  </w:p>
  <w:p w:rsidR="004D1FA5" w:rsidRPr="00751A45" w:rsidRDefault="00547EE9" w:rsidP="00547EE9">
    <w:pPr>
      <w:pStyle w:val="Footer"/>
      <w:jc w:val="center"/>
      <w:rPr>
        <w:rFonts w:ascii="Arial" w:hAnsi="Arial"/>
        <w:color w:val="646569"/>
        <w:sz w:val="16"/>
        <w:szCs w:val="16"/>
      </w:rPr>
    </w:pPr>
    <w:r w:rsidRPr="00751A45">
      <w:rPr>
        <w:rFonts w:ascii="Arial" w:hAnsi="Arial"/>
        <w:color w:val="646569"/>
        <w:sz w:val="16"/>
        <w:szCs w:val="16"/>
      </w:rPr>
      <w:t xml:space="preserve">44 Holland Avenue, Albany, New York 12229-0001 </w:t>
    </w:r>
    <w:r w:rsidRPr="00751A45">
      <w:rPr>
        <w:rFonts w:ascii="Arial" w:hAnsi="Arial" w:cs="Courier New"/>
        <w:color w:val="646569"/>
        <w:sz w:val="16"/>
        <w:szCs w:val="16"/>
      </w:rPr>
      <w:t>│</w:t>
    </w:r>
    <w:r w:rsidRPr="00751A45">
      <w:rPr>
        <w:rFonts w:ascii="Arial" w:hAnsi="Arial"/>
        <w:color w:val="646569"/>
        <w:sz w:val="16"/>
        <w:szCs w:val="16"/>
      </w:rPr>
      <w:t xml:space="preserve"> 8</w:t>
    </w:r>
    <w:r>
      <w:rPr>
        <w:rFonts w:ascii="Arial" w:hAnsi="Arial"/>
        <w:color w:val="646569"/>
        <w:sz w:val="16"/>
        <w:szCs w:val="16"/>
      </w:rPr>
      <w:t>6</w:t>
    </w:r>
    <w:r w:rsidRPr="00751A45">
      <w:rPr>
        <w:rFonts w:ascii="Arial" w:hAnsi="Arial"/>
        <w:color w:val="646569"/>
        <w:sz w:val="16"/>
        <w:szCs w:val="16"/>
      </w:rPr>
      <w:t xml:space="preserve">6-946-9733 </w:t>
    </w:r>
    <w:r w:rsidRPr="00751A45">
      <w:rPr>
        <w:rFonts w:ascii="Arial" w:hAnsi="Arial" w:cs="Courier New"/>
        <w:color w:val="646569"/>
        <w:sz w:val="16"/>
        <w:szCs w:val="16"/>
      </w:rPr>
      <w:t>│</w:t>
    </w:r>
    <w:r w:rsidRPr="00751A45">
      <w:rPr>
        <w:rFonts w:ascii="Arial" w:hAnsi="Arial"/>
        <w:color w:val="646569"/>
        <w:sz w:val="16"/>
        <w:szCs w:val="16"/>
      </w:rPr>
      <w:t>www.opwdd.ny.gov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D3" w:rsidRDefault="007E0AD3" w:rsidP="00FC432B">
      <w:pPr>
        <w:spacing w:after="0" w:line="240" w:lineRule="auto"/>
      </w:pPr>
      <w:r>
        <w:separator/>
      </w:r>
    </w:p>
  </w:footnote>
  <w:footnote w:type="continuationSeparator" w:id="0">
    <w:p w:rsidR="007E0AD3" w:rsidRDefault="007E0AD3" w:rsidP="00FC4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B7"/>
    <w:rsid w:val="00020A54"/>
    <w:rsid w:val="00052D04"/>
    <w:rsid w:val="00126BDC"/>
    <w:rsid w:val="00167611"/>
    <w:rsid w:val="001D4E08"/>
    <w:rsid w:val="002736D4"/>
    <w:rsid w:val="002C17BD"/>
    <w:rsid w:val="00325704"/>
    <w:rsid w:val="0033369C"/>
    <w:rsid w:val="00390D29"/>
    <w:rsid w:val="003A7EE0"/>
    <w:rsid w:val="003D7EB0"/>
    <w:rsid w:val="0041405B"/>
    <w:rsid w:val="00465B79"/>
    <w:rsid w:val="004B696F"/>
    <w:rsid w:val="004D1FA5"/>
    <w:rsid w:val="00507181"/>
    <w:rsid w:val="005414BE"/>
    <w:rsid w:val="00547EE9"/>
    <w:rsid w:val="005546F6"/>
    <w:rsid w:val="00593289"/>
    <w:rsid w:val="00594995"/>
    <w:rsid w:val="00600B2F"/>
    <w:rsid w:val="006D2026"/>
    <w:rsid w:val="006E0A69"/>
    <w:rsid w:val="00751A45"/>
    <w:rsid w:val="007926B7"/>
    <w:rsid w:val="007E0AD3"/>
    <w:rsid w:val="008159E9"/>
    <w:rsid w:val="008362AC"/>
    <w:rsid w:val="00920D47"/>
    <w:rsid w:val="009257E0"/>
    <w:rsid w:val="00A05664"/>
    <w:rsid w:val="00A27C6C"/>
    <w:rsid w:val="00A360CD"/>
    <w:rsid w:val="00AB3B1A"/>
    <w:rsid w:val="00BC57B1"/>
    <w:rsid w:val="00C05C48"/>
    <w:rsid w:val="00C55E48"/>
    <w:rsid w:val="00C6678B"/>
    <w:rsid w:val="00C92AA1"/>
    <w:rsid w:val="00CE3AEB"/>
    <w:rsid w:val="00D124E8"/>
    <w:rsid w:val="00D24593"/>
    <w:rsid w:val="00D86410"/>
    <w:rsid w:val="00FC43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C92A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C92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A4FE5-0C2F-4123-89A9-8FCE851FFEB6}">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d7ba0638-ee3c-42f0-be76-41efb289a28a"/>
    <ds:schemaRef ds:uri="http://www.w3.org/XML/1998/namespace"/>
  </ds:schemaRefs>
</ds:datastoreItem>
</file>

<file path=customXml/itemProps2.xml><?xml version="1.0" encoding="utf-8"?>
<ds:datastoreItem xmlns:ds="http://schemas.openxmlformats.org/officeDocument/2006/customXml" ds:itemID="{40B2BE4B-5290-409F-B496-1F61D75A8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64384-B44F-4C92-AB40-4159CF839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Jennifer</dc:creator>
  <cp:lastModifiedBy>Susan Z. Constantino</cp:lastModifiedBy>
  <cp:revision>2</cp:revision>
  <cp:lastPrinted>2015-01-22T16:39:00Z</cp:lastPrinted>
  <dcterms:created xsi:type="dcterms:W3CDTF">2017-03-20T22:37:00Z</dcterms:created>
  <dcterms:modified xsi:type="dcterms:W3CDTF">2017-03-20T22:37:00Z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